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D46" w:rsidRPr="002A6D46" w:rsidRDefault="002A6D46" w:rsidP="002A6D46">
      <w:pPr>
        <w:widowControl/>
        <w:shd w:val="clear" w:color="auto" w:fill="FFFFFF"/>
        <w:spacing w:line="420" w:lineRule="atLeast"/>
        <w:jc w:val="center"/>
        <w:rPr>
          <w:rFonts w:ascii="Arial" w:eastAsia="宋体" w:hAnsi="Arial" w:cs="Arial"/>
          <w:kern w:val="0"/>
          <w:szCs w:val="21"/>
        </w:rPr>
      </w:pPr>
      <w:r w:rsidRPr="002A6D46">
        <w:rPr>
          <w:rFonts w:ascii="宋体" w:eastAsia="宋体" w:hAnsi="宋体" w:cs="Arial" w:hint="eastAsia"/>
          <w:b/>
          <w:bCs/>
          <w:kern w:val="0"/>
          <w:sz w:val="36"/>
          <w:szCs w:val="36"/>
        </w:rPr>
        <w:t>中国证券监督管理委员会公告</w:t>
      </w:r>
      <w:r w:rsidRPr="002A6D46">
        <w:rPr>
          <w:rFonts w:ascii="Calibri" w:eastAsia="宋体" w:hAnsi="Calibri" w:cs="Calibri"/>
          <w:b/>
          <w:bCs/>
          <w:kern w:val="0"/>
          <w:sz w:val="36"/>
          <w:szCs w:val="36"/>
        </w:rPr>
        <w:t>[2013]43</w:t>
      </w:r>
      <w:r w:rsidRPr="002A6D46">
        <w:rPr>
          <w:rFonts w:ascii="宋体" w:eastAsia="宋体" w:hAnsi="宋体" w:cs="Arial" w:hint="eastAsia"/>
          <w:b/>
          <w:bCs/>
          <w:kern w:val="0"/>
          <w:sz w:val="36"/>
          <w:szCs w:val="36"/>
        </w:rPr>
        <w:t>号上市公司</w:t>
      </w:r>
      <w:r w:rsidRPr="002A6D46">
        <w:rPr>
          <w:rFonts w:ascii="宋体" w:eastAsia="宋体" w:hAnsi="宋体" w:cs="Arial" w:hint="eastAsia"/>
          <w:b/>
          <w:bCs/>
          <w:kern w:val="0"/>
          <w:sz w:val="36"/>
          <w:szCs w:val="36"/>
        </w:rPr>
        <w:br/>
        <w:t>监管指引第</w:t>
      </w:r>
      <w:r w:rsidRPr="002A6D46">
        <w:rPr>
          <w:rFonts w:ascii="Calibri" w:eastAsia="宋体" w:hAnsi="Calibri" w:cs="Calibri"/>
          <w:b/>
          <w:bCs/>
          <w:kern w:val="0"/>
          <w:sz w:val="36"/>
          <w:szCs w:val="36"/>
        </w:rPr>
        <w:t>3</w:t>
      </w:r>
      <w:r w:rsidRPr="002A6D46">
        <w:rPr>
          <w:rFonts w:ascii="宋体" w:eastAsia="宋体" w:hAnsi="宋体" w:cs="Arial" w:hint="eastAsia"/>
          <w:b/>
          <w:bCs/>
          <w:kern w:val="0"/>
          <w:sz w:val="36"/>
          <w:szCs w:val="36"/>
        </w:rPr>
        <w:t>号——上市公司现金分红</w:t>
      </w:r>
    </w:p>
    <w:p w:rsidR="002A6D46" w:rsidRPr="002A6D46" w:rsidRDefault="002A6D46" w:rsidP="002A6D46">
      <w:pPr>
        <w:widowControl/>
        <w:shd w:val="clear" w:color="auto" w:fill="FFFFFF"/>
        <w:spacing w:line="420" w:lineRule="atLeast"/>
        <w:jc w:val="center"/>
        <w:rPr>
          <w:rFonts w:ascii="Arial" w:eastAsia="宋体" w:hAnsi="Arial" w:cs="Arial"/>
          <w:color w:val="444444"/>
          <w:kern w:val="0"/>
          <w:szCs w:val="21"/>
        </w:rPr>
      </w:pPr>
      <w:r w:rsidRPr="002A6D46">
        <w:rPr>
          <w:rFonts w:ascii="宋体" w:eastAsia="宋体" w:hAnsi="宋体" w:cs="Arial" w:hint="eastAsia"/>
          <w:color w:val="444444"/>
          <w:kern w:val="0"/>
          <w:sz w:val="24"/>
          <w:szCs w:val="24"/>
        </w:rPr>
        <w:t>中国证券监督管理委员会公告</w:t>
      </w:r>
      <w:r w:rsidRPr="002A6D46">
        <w:rPr>
          <w:rFonts w:ascii="Calibri" w:eastAsia="宋体" w:hAnsi="Calibri" w:cs="Calibri"/>
          <w:color w:val="444444"/>
          <w:kern w:val="0"/>
          <w:sz w:val="24"/>
          <w:szCs w:val="24"/>
        </w:rPr>
        <w:t>[2013]43</w:t>
      </w:r>
      <w:r w:rsidRPr="002A6D46">
        <w:rPr>
          <w:rFonts w:ascii="宋体" w:eastAsia="宋体" w:hAnsi="宋体" w:cs="Arial" w:hint="eastAsia"/>
          <w:color w:val="444444"/>
          <w:kern w:val="0"/>
          <w:sz w:val="24"/>
          <w:szCs w:val="24"/>
        </w:rPr>
        <w:t>号</w:t>
      </w:r>
    </w:p>
    <w:p w:rsidR="002A6D46" w:rsidRPr="002A6D46" w:rsidRDefault="002A6D46" w:rsidP="002A6D46">
      <w:pPr>
        <w:widowControl/>
        <w:shd w:val="clear" w:color="auto" w:fill="FFFFFF"/>
        <w:spacing w:line="420" w:lineRule="atLeast"/>
        <w:jc w:val="left"/>
        <w:rPr>
          <w:rFonts w:ascii="Arial" w:eastAsia="宋体" w:hAnsi="Arial" w:cs="Arial"/>
          <w:color w:val="444444"/>
          <w:kern w:val="0"/>
          <w:szCs w:val="21"/>
        </w:rPr>
      </w:pPr>
      <w:r w:rsidRPr="002A6D46">
        <w:rPr>
          <w:rFonts w:ascii="Calibri" w:eastAsia="宋体" w:hAnsi="Calibri" w:cs="Calibri"/>
          <w:color w:val="444444"/>
          <w:kern w:val="0"/>
          <w:sz w:val="24"/>
          <w:szCs w:val="24"/>
        </w:rPr>
        <w:t>  </w:t>
      </w:r>
    </w:p>
    <w:p w:rsidR="002A6D46" w:rsidRPr="002A6D46" w:rsidRDefault="002A6D46" w:rsidP="002A6D46">
      <w:pPr>
        <w:widowControl/>
        <w:shd w:val="clear" w:color="auto" w:fill="FFFFFF"/>
        <w:spacing w:line="420" w:lineRule="atLeast"/>
        <w:ind w:firstLine="420"/>
        <w:jc w:val="left"/>
        <w:rPr>
          <w:rFonts w:ascii="Arial" w:eastAsia="宋体" w:hAnsi="Arial" w:cs="Arial"/>
          <w:color w:val="444444"/>
          <w:kern w:val="0"/>
          <w:szCs w:val="21"/>
        </w:rPr>
      </w:pPr>
      <w:r w:rsidRPr="002A6D46">
        <w:rPr>
          <w:rFonts w:ascii="宋体" w:eastAsia="宋体" w:hAnsi="宋体" w:cs="Arial" w:hint="eastAsia"/>
          <w:color w:val="444444"/>
          <w:kern w:val="0"/>
          <w:sz w:val="24"/>
          <w:szCs w:val="24"/>
        </w:rPr>
        <w:t>为进一步规范上市公司现金分红，增强现金分红透明度，切实维护投资者合法权益，我会制定了《上市公司监管指引第</w:t>
      </w:r>
      <w:r w:rsidRPr="002A6D46">
        <w:rPr>
          <w:rFonts w:ascii="Calibri" w:eastAsia="宋体" w:hAnsi="Calibri" w:cs="Calibri"/>
          <w:color w:val="444444"/>
          <w:kern w:val="0"/>
          <w:sz w:val="24"/>
          <w:szCs w:val="24"/>
        </w:rPr>
        <w:t>3</w:t>
      </w:r>
      <w:r w:rsidRPr="002A6D46">
        <w:rPr>
          <w:rFonts w:ascii="宋体" w:eastAsia="宋体" w:hAnsi="宋体" w:cs="Arial" w:hint="eastAsia"/>
          <w:color w:val="444444"/>
          <w:kern w:val="0"/>
          <w:sz w:val="24"/>
          <w:szCs w:val="24"/>
        </w:rPr>
        <w:t>号——上市公司现金分红》，现予公布，自公布之日起施行。</w:t>
      </w:r>
    </w:p>
    <w:p w:rsidR="002A6D46" w:rsidRPr="002A6D46" w:rsidRDefault="002A6D46" w:rsidP="002A6D46">
      <w:pPr>
        <w:widowControl/>
        <w:shd w:val="clear" w:color="auto" w:fill="FFFFFF"/>
        <w:spacing w:line="420" w:lineRule="atLeast"/>
        <w:ind w:firstLine="420"/>
        <w:jc w:val="left"/>
        <w:rPr>
          <w:rFonts w:ascii="Arial" w:eastAsia="宋体" w:hAnsi="Arial" w:cs="Arial"/>
          <w:color w:val="444444"/>
          <w:kern w:val="0"/>
          <w:szCs w:val="21"/>
        </w:rPr>
      </w:pPr>
      <w:r w:rsidRPr="002A6D46">
        <w:rPr>
          <w:rFonts w:ascii="宋体" w:eastAsia="宋体" w:hAnsi="宋体" w:cs="Arial" w:hint="eastAsia"/>
          <w:color w:val="444444"/>
          <w:kern w:val="0"/>
          <w:sz w:val="24"/>
          <w:szCs w:val="24"/>
        </w:rPr>
        <w:t>附件：证监会公告</w:t>
      </w:r>
      <w:r w:rsidRPr="002A6D46">
        <w:rPr>
          <w:rFonts w:ascii="Calibri" w:eastAsia="宋体" w:hAnsi="Calibri" w:cs="Calibri"/>
          <w:color w:val="444444"/>
          <w:kern w:val="0"/>
          <w:sz w:val="24"/>
          <w:szCs w:val="24"/>
        </w:rPr>
        <w:t>[2013]43</w:t>
      </w:r>
      <w:r w:rsidRPr="002A6D46">
        <w:rPr>
          <w:rFonts w:ascii="宋体" w:eastAsia="宋体" w:hAnsi="宋体" w:cs="Arial" w:hint="eastAsia"/>
          <w:color w:val="444444"/>
          <w:kern w:val="0"/>
          <w:sz w:val="24"/>
          <w:szCs w:val="24"/>
        </w:rPr>
        <w:t>号</w:t>
      </w:r>
    </w:p>
    <w:p w:rsidR="002A6D46" w:rsidRPr="002A6D46" w:rsidRDefault="002A6D46" w:rsidP="002A6D46">
      <w:pPr>
        <w:widowControl/>
        <w:shd w:val="clear" w:color="auto" w:fill="FFFFFF"/>
        <w:spacing w:line="420" w:lineRule="atLeast"/>
        <w:jc w:val="right"/>
        <w:rPr>
          <w:rFonts w:ascii="Arial" w:eastAsia="宋体" w:hAnsi="Arial" w:cs="Arial"/>
          <w:color w:val="444444"/>
          <w:kern w:val="0"/>
          <w:szCs w:val="21"/>
        </w:rPr>
      </w:pPr>
      <w:r w:rsidRPr="002A6D46">
        <w:rPr>
          <w:rFonts w:ascii="宋体" w:eastAsia="宋体" w:hAnsi="宋体" w:cs="Arial" w:hint="eastAsia"/>
          <w:b/>
          <w:bCs/>
          <w:color w:val="444444"/>
          <w:kern w:val="0"/>
          <w:sz w:val="24"/>
          <w:szCs w:val="24"/>
        </w:rPr>
        <w:t>中国证监会</w:t>
      </w:r>
    </w:p>
    <w:p w:rsidR="002A6D46" w:rsidRPr="002A6D46" w:rsidRDefault="002A6D46" w:rsidP="002A6D46">
      <w:pPr>
        <w:widowControl/>
        <w:shd w:val="clear" w:color="auto" w:fill="FFFFFF"/>
        <w:spacing w:line="420" w:lineRule="atLeast"/>
        <w:jc w:val="right"/>
        <w:rPr>
          <w:rFonts w:ascii="Arial" w:eastAsia="宋体" w:hAnsi="Arial" w:cs="Arial"/>
          <w:color w:val="444444"/>
          <w:kern w:val="0"/>
          <w:szCs w:val="21"/>
        </w:rPr>
      </w:pPr>
      <w:r w:rsidRPr="002A6D46">
        <w:rPr>
          <w:rFonts w:ascii="Calibri" w:eastAsia="宋体" w:hAnsi="Calibri" w:cs="Calibri"/>
          <w:b/>
          <w:bCs/>
          <w:color w:val="444444"/>
          <w:kern w:val="0"/>
          <w:sz w:val="24"/>
          <w:szCs w:val="24"/>
        </w:rPr>
        <w:t>2013</w:t>
      </w:r>
      <w:r w:rsidRPr="002A6D46">
        <w:rPr>
          <w:rFonts w:ascii="宋体" w:eastAsia="宋体" w:hAnsi="宋体" w:cs="Arial" w:hint="eastAsia"/>
          <w:b/>
          <w:bCs/>
          <w:color w:val="444444"/>
          <w:kern w:val="0"/>
          <w:sz w:val="24"/>
          <w:szCs w:val="24"/>
        </w:rPr>
        <w:t>年</w:t>
      </w:r>
      <w:r w:rsidRPr="002A6D46">
        <w:rPr>
          <w:rFonts w:ascii="Calibri" w:eastAsia="宋体" w:hAnsi="Calibri" w:cs="Calibri"/>
          <w:b/>
          <w:bCs/>
          <w:color w:val="444444"/>
          <w:kern w:val="0"/>
          <w:sz w:val="24"/>
          <w:szCs w:val="24"/>
        </w:rPr>
        <w:t>11</w:t>
      </w:r>
      <w:r w:rsidRPr="002A6D46">
        <w:rPr>
          <w:rFonts w:ascii="宋体" w:eastAsia="宋体" w:hAnsi="宋体" w:cs="Arial" w:hint="eastAsia"/>
          <w:b/>
          <w:bCs/>
          <w:color w:val="444444"/>
          <w:kern w:val="0"/>
          <w:sz w:val="24"/>
          <w:szCs w:val="24"/>
        </w:rPr>
        <w:t>月</w:t>
      </w:r>
      <w:r w:rsidRPr="002A6D46">
        <w:rPr>
          <w:rFonts w:ascii="Calibri" w:eastAsia="宋体" w:hAnsi="Calibri" w:cs="Calibri"/>
          <w:b/>
          <w:bCs/>
          <w:color w:val="444444"/>
          <w:kern w:val="0"/>
          <w:sz w:val="24"/>
          <w:szCs w:val="24"/>
        </w:rPr>
        <w:t>30</w:t>
      </w:r>
      <w:r w:rsidRPr="002A6D46">
        <w:rPr>
          <w:rFonts w:ascii="宋体" w:eastAsia="宋体" w:hAnsi="宋体" w:cs="Arial" w:hint="eastAsia"/>
          <w:b/>
          <w:bCs/>
          <w:color w:val="444444"/>
          <w:kern w:val="0"/>
          <w:sz w:val="24"/>
          <w:szCs w:val="24"/>
        </w:rPr>
        <w:t>日</w:t>
      </w:r>
    </w:p>
    <w:p w:rsidR="00710157" w:rsidRDefault="00710157" w:rsidP="00710157">
      <w:pPr>
        <w:pStyle w:val="a5"/>
        <w:shd w:val="clear" w:color="auto" w:fill="FFFFFF"/>
        <w:spacing w:before="0" w:beforeAutospacing="0" w:after="0" w:afterAutospacing="0" w:line="420" w:lineRule="atLeast"/>
        <w:jc w:val="center"/>
        <w:rPr>
          <w:rFonts w:ascii="Arial" w:hAnsi="Arial" w:cs="Arial"/>
          <w:color w:val="333333"/>
          <w:sz w:val="20"/>
          <w:szCs w:val="20"/>
        </w:rPr>
      </w:pPr>
      <w:r>
        <w:rPr>
          <w:rFonts w:ascii="Arial" w:hAnsi="Arial" w:cs="Arial"/>
          <w:color w:val="333333"/>
          <w:sz w:val="20"/>
          <w:szCs w:val="20"/>
        </w:rPr>
        <w:t xml:space="preserve">　　</w:t>
      </w:r>
      <w:r>
        <w:rPr>
          <w:rStyle w:val="a6"/>
          <w:rFonts w:ascii="Arial" w:hAnsi="Arial" w:cs="Arial"/>
          <w:color w:val="333333"/>
          <w:sz w:val="20"/>
          <w:szCs w:val="20"/>
        </w:rPr>
        <w:t>上市公司监管指引第</w:t>
      </w:r>
      <w:r>
        <w:rPr>
          <w:rStyle w:val="a6"/>
          <w:rFonts w:ascii="Arial" w:hAnsi="Arial" w:cs="Arial"/>
          <w:color w:val="333333"/>
          <w:sz w:val="20"/>
          <w:szCs w:val="20"/>
        </w:rPr>
        <w:t>3</w:t>
      </w:r>
      <w:r>
        <w:rPr>
          <w:rStyle w:val="a6"/>
          <w:rFonts w:ascii="Arial" w:hAnsi="Arial" w:cs="Arial"/>
          <w:color w:val="333333"/>
          <w:sz w:val="20"/>
          <w:szCs w:val="20"/>
        </w:rPr>
        <w:t>号</w:t>
      </w:r>
    </w:p>
    <w:p w:rsidR="00710157" w:rsidRDefault="00710157" w:rsidP="00710157">
      <w:pPr>
        <w:pStyle w:val="a5"/>
        <w:shd w:val="clear" w:color="auto" w:fill="FFFFFF"/>
        <w:spacing w:before="0" w:beforeAutospacing="0" w:after="0" w:afterAutospacing="0" w:line="420" w:lineRule="atLeast"/>
        <w:jc w:val="center"/>
        <w:rPr>
          <w:rFonts w:ascii="Arial" w:hAnsi="Arial" w:cs="Arial"/>
          <w:color w:val="333333"/>
          <w:sz w:val="20"/>
          <w:szCs w:val="20"/>
        </w:rPr>
      </w:pPr>
      <w:r>
        <w:rPr>
          <w:rStyle w:val="a6"/>
          <w:rFonts w:ascii="Arial" w:hAnsi="Arial" w:cs="Arial"/>
          <w:color w:val="333333"/>
          <w:sz w:val="20"/>
          <w:szCs w:val="20"/>
        </w:rPr>
        <w:t xml:space="preserve">　　</w:t>
      </w:r>
      <w:r>
        <w:rPr>
          <w:rStyle w:val="a6"/>
          <w:rFonts w:ascii="Arial" w:hAnsi="Arial" w:cs="Arial"/>
          <w:color w:val="333333"/>
          <w:sz w:val="20"/>
          <w:szCs w:val="20"/>
        </w:rPr>
        <w:t>——</w:t>
      </w:r>
      <w:r>
        <w:rPr>
          <w:rStyle w:val="a6"/>
          <w:rFonts w:ascii="Arial" w:hAnsi="Arial" w:cs="Arial"/>
          <w:color w:val="333333"/>
          <w:sz w:val="20"/>
          <w:szCs w:val="20"/>
        </w:rPr>
        <w:t>上市公司现金分红</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第一条　为规范上市公司现金分红，增强现金分红透明度，维护投资者合法权益，根据《公司法》、《证券法》、《上市公司信息披露管理办法》和《上市公司证券发行管理办法》等规定，制定本指引。</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第二条　上市公司应当牢固树立回报股东的意识，严格依照《公司法》、《证券法》和公司章程的规定，健全现金分红制度，保持现金分红政策的一致性、合理性和稳定性，保证现金分红信息披露的真实性。</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第三条　上市公司制定利润分配政策时，应当履行公司章程规定的决策程序。董事会应当就股东回报事宜进行专项研究论证，制定明确、清晰的股东回报规划，并详细说明规划安排的理由等情况。上市公司应当在公司章程中载明以下内容：</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一</w:t>
      </w:r>
      <w:r>
        <w:rPr>
          <w:rFonts w:ascii="Arial" w:hAnsi="Arial" w:cs="Arial"/>
          <w:color w:val="333333"/>
          <w:sz w:val="20"/>
          <w:szCs w:val="20"/>
        </w:rPr>
        <w:t>)</w:t>
      </w:r>
      <w:r>
        <w:rPr>
          <w:rFonts w:ascii="Arial" w:hAnsi="Arial" w:cs="Arial"/>
          <w:color w:val="333333"/>
          <w:sz w:val="20"/>
          <w:szCs w:val="20"/>
        </w:rPr>
        <w:t>公司董事会、股东大会对利润分配尤其是现金分红事项的决策程序和机制，对既定利润分配政策尤其是现金分红政策作出调整的具体条件、决策程序和机制，以及为充分听取独立董事和中小股东意见所采取的措施。</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二</w:t>
      </w:r>
      <w:r>
        <w:rPr>
          <w:rFonts w:ascii="Arial" w:hAnsi="Arial" w:cs="Arial"/>
          <w:color w:val="333333"/>
          <w:sz w:val="20"/>
          <w:szCs w:val="20"/>
        </w:rPr>
        <w:t>)</w:t>
      </w:r>
      <w:r>
        <w:rPr>
          <w:rFonts w:ascii="Arial" w:hAnsi="Arial" w:cs="Arial"/>
          <w:color w:val="333333"/>
          <w:sz w:val="20"/>
          <w:szCs w:val="20"/>
        </w:rPr>
        <w:t>公司的利润分配政策尤其是现金分红政策的具体内容，利润分配的形式，利润分配尤其是现金分红的期间间隔，现金分红的具体条件，发放股票股利的条件，各期现金分红最低金额或比例</w:t>
      </w:r>
      <w:r>
        <w:rPr>
          <w:rFonts w:ascii="Arial" w:hAnsi="Arial" w:cs="Arial"/>
          <w:color w:val="333333"/>
          <w:sz w:val="20"/>
          <w:szCs w:val="20"/>
        </w:rPr>
        <w:t>(</w:t>
      </w:r>
      <w:r>
        <w:rPr>
          <w:rFonts w:ascii="Arial" w:hAnsi="Arial" w:cs="Arial"/>
          <w:color w:val="333333"/>
          <w:sz w:val="20"/>
          <w:szCs w:val="20"/>
        </w:rPr>
        <w:t>如有</w:t>
      </w:r>
      <w:r>
        <w:rPr>
          <w:rFonts w:ascii="Arial" w:hAnsi="Arial" w:cs="Arial"/>
          <w:color w:val="333333"/>
          <w:sz w:val="20"/>
          <w:szCs w:val="20"/>
        </w:rPr>
        <w:t>)</w:t>
      </w:r>
      <w:r>
        <w:rPr>
          <w:rFonts w:ascii="Arial" w:hAnsi="Arial" w:cs="Arial"/>
          <w:color w:val="333333"/>
          <w:sz w:val="20"/>
          <w:szCs w:val="20"/>
        </w:rPr>
        <w:t>等。</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第四条　上市公司应当在章程中明确现金分红相对于股票股利在利润分配方式中的优先顺序。</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具备现金分红条件的，应当采用现金分红进行利润分配。</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采用股票股利进行利润分配的，应当具有公司成长性、每股净资产的摊薄等真实合理因素。</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lastRenderedPageBreak/>
        <w:t xml:space="preserve">　　第五条　上市公司董事会应当综合考虑所处行业特点、发展阶段、自身经营模式、盈利水平以及是否有重大资金支出安排等因素，区分下列情形，并按照公司章程规定的程序，提出差异化的现金分红政策：</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一</w:t>
      </w:r>
      <w:r>
        <w:rPr>
          <w:rFonts w:ascii="Arial" w:hAnsi="Arial" w:cs="Arial"/>
          <w:color w:val="333333"/>
          <w:sz w:val="20"/>
          <w:szCs w:val="20"/>
        </w:rPr>
        <w:t>)</w:t>
      </w:r>
      <w:r>
        <w:rPr>
          <w:rFonts w:ascii="Arial" w:hAnsi="Arial" w:cs="Arial"/>
          <w:color w:val="333333"/>
          <w:sz w:val="20"/>
          <w:szCs w:val="20"/>
        </w:rPr>
        <w:t>公司发展阶段属成熟期且无重大资金支出安排的，进行利润分配时，现金分红在本次利润分配中所占比例最低应达到</w:t>
      </w:r>
      <w:r>
        <w:rPr>
          <w:rFonts w:ascii="Arial" w:hAnsi="Arial" w:cs="Arial"/>
          <w:color w:val="333333"/>
          <w:sz w:val="20"/>
          <w:szCs w:val="20"/>
        </w:rPr>
        <w:t>80%;</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二</w:t>
      </w:r>
      <w:r>
        <w:rPr>
          <w:rFonts w:ascii="Arial" w:hAnsi="Arial" w:cs="Arial"/>
          <w:color w:val="333333"/>
          <w:sz w:val="20"/>
          <w:szCs w:val="20"/>
        </w:rPr>
        <w:t>)</w:t>
      </w:r>
      <w:r>
        <w:rPr>
          <w:rFonts w:ascii="Arial" w:hAnsi="Arial" w:cs="Arial"/>
          <w:color w:val="333333"/>
          <w:sz w:val="20"/>
          <w:szCs w:val="20"/>
        </w:rPr>
        <w:t>公司发展阶段属成熟期且有重大资金支出安排的，进行利润分配时，现金分红在本次利润分配中所占比例最低应达到</w:t>
      </w:r>
      <w:r>
        <w:rPr>
          <w:rFonts w:ascii="Arial" w:hAnsi="Arial" w:cs="Arial"/>
          <w:color w:val="333333"/>
          <w:sz w:val="20"/>
          <w:szCs w:val="20"/>
        </w:rPr>
        <w:t>40%;</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三</w:t>
      </w:r>
      <w:r>
        <w:rPr>
          <w:rFonts w:ascii="Arial" w:hAnsi="Arial" w:cs="Arial"/>
          <w:color w:val="333333"/>
          <w:sz w:val="20"/>
          <w:szCs w:val="20"/>
        </w:rPr>
        <w:t>)</w:t>
      </w:r>
      <w:r>
        <w:rPr>
          <w:rFonts w:ascii="Arial" w:hAnsi="Arial" w:cs="Arial"/>
          <w:color w:val="333333"/>
          <w:sz w:val="20"/>
          <w:szCs w:val="20"/>
        </w:rPr>
        <w:t>公司发展阶段属成长期且有重大资金支出安排的，进行利润分配时，现金分红在本次利润分配中所占比例最低应达到</w:t>
      </w:r>
      <w:r>
        <w:rPr>
          <w:rFonts w:ascii="Arial" w:hAnsi="Arial" w:cs="Arial"/>
          <w:color w:val="333333"/>
          <w:sz w:val="20"/>
          <w:szCs w:val="20"/>
        </w:rPr>
        <w:t>20%;</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公司发展阶段不易区分但有重大资金支出安排的，可以按照前项规定处理。</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第六条　上市公司在制定现金分红具体方案时，董事会应当认真研究和论证公司现金分红的时机、条件和最低比例、调整的条件及其决策程序要求等事宜，独立董事应当发表明确意见。</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独立董事可以征集中小股东的意见，提出分红提案，并直接提交董事会审议。</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股东大会对现金分红具体方案进行审议前，上市公司应当通过多种渠道主动与股东特别是中小股东进行沟通和交流，充分听取中小股东的意见和诉求，及时答复中小股东关心的问题。</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第七条　上市公司应当严格执行公司章程确定的现金分红政策以及股东大会审议批准的现金分红具体方案。确有必要对公司章程确定的现金分红政策进行调整或者变更的，应当满足公司章程规定的条件，经过详细论证后，履行相应的决策程序，并经出席股东大会的股东所持表决权的</w:t>
      </w:r>
      <w:r>
        <w:rPr>
          <w:rFonts w:ascii="Arial" w:hAnsi="Arial" w:cs="Arial"/>
          <w:color w:val="333333"/>
          <w:sz w:val="20"/>
          <w:szCs w:val="20"/>
        </w:rPr>
        <w:t>2/3</w:t>
      </w:r>
      <w:r>
        <w:rPr>
          <w:rFonts w:ascii="Arial" w:hAnsi="Arial" w:cs="Arial"/>
          <w:color w:val="333333"/>
          <w:sz w:val="20"/>
          <w:szCs w:val="20"/>
        </w:rPr>
        <w:t>以上通过。</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第八条　上市公司应当在年度报告中详细披露现金分红政策的制定及执行情况，并对下列事项进行专项说明：</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一</w:t>
      </w:r>
      <w:r>
        <w:rPr>
          <w:rFonts w:ascii="Arial" w:hAnsi="Arial" w:cs="Arial"/>
          <w:color w:val="333333"/>
          <w:sz w:val="20"/>
          <w:szCs w:val="20"/>
        </w:rPr>
        <w:t>)</w:t>
      </w:r>
      <w:r>
        <w:rPr>
          <w:rFonts w:ascii="Arial" w:hAnsi="Arial" w:cs="Arial"/>
          <w:color w:val="333333"/>
          <w:sz w:val="20"/>
          <w:szCs w:val="20"/>
        </w:rPr>
        <w:t>是否符合公司章程的规定或者股东大会决议的要求</w:t>
      </w:r>
      <w:r>
        <w:rPr>
          <w:rFonts w:ascii="Arial" w:hAnsi="Arial" w:cs="Arial"/>
          <w:color w:val="333333"/>
          <w:sz w:val="20"/>
          <w:szCs w:val="20"/>
        </w:rPr>
        <w:t>;</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二</w:t>
      </w:r>
      <w:r>
        <w:rPr>
          <w:rFonts w:ascii="Arial" w:hAnsi="Arial" w:cs="Arial"/>
          <w:color w:val="333333"/>
          <w:sz w:val="20"/>
          <w:szCs w:val="20"/>
        </w:rPr>
        <w:t>)</w:t>
      </w:r>
      <w:r>
        <w:rPr>
          <w:rFonts w:ascii="Arial" w:hAnsi="Arial" w:cs="Arial"/>
          <w:color w:val="333333"/>
          <w:sz w:val="20"/>
          <w:szCs w:val="20"/>
        </w:rPr>
        <w:t>分红标准和比例是否明确和清晰</w:t>
      </w:r>
      <w:r>
        <w:rPr>
          <w:rFonts w:ascii="Arial" w:hAnsi="Arial" w:cs="Arial"/>
          <w:color w:val="333333"/>
          <w:sz w:val="20"/>
          <w:szCs w:val="20"/>
        </w:rPr>
        <w:t>;</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三</w:t>
      </w:r>
      <w:r>
        <w:rPr>
          <w:rFonts w:ascii="Arial" w:hAnsi="Arial" w:cs="Arial"/>
          <w:color w:val="333333"/>
          <w:sz w:val="20"/>
          <w:szCs w:val="20"/>
        </w:rPr>
        <w:t>)</w:t>
      </w:r>
      <w:r>
        <w:rPr>
          <w:rFonts w:ascii="Arial" w:hAnsi="Arial" w:cs="Arial"/>
          <w:color w:val="333333"/>
          <w:sz w:val="20"/>
          <w:szCs w:val="20"/>
        </w:rPr>
        <w:t>相关的决策程序和机制是否完备</w:t>
      </w:r>
      <w:r>
        <w:rPr>
          <w:rFonts w:ascii="Arial" w:hAnsi="Arial" w:cs="Arial"/>
          <w:color w:val="333333"/>
          <w:sz w:val="20"/>
          <w:szCs w:val="20"/>
        </w:rPr>
        <w:t>;</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四</w:t>
      </w:r>
      <w:r>
        <w:rPr>
          <w:rFonts w:ascii="Arial" w:hAnsi="Arial" w:cs="Arial"/>
          <w:color w:val="333333"/>
          <w:sz w:val="20"/>
          <w:szCs w:val="20"/>
        </w:rPr>
        <w:t>)</w:t>
      </w:r>
      <w:r>
        <w:rPr>
          <w:rFonts w:ascii="Arial" w:hAnsi="Arial" w:cs="Arial"/>
          <w:color w:val="333333"/>
          <w:sz w:val="20"/>
          <w:szCs w:val="20"/>
        </w:rPr>
        <w:t>独立董事是否履职尽责并发挥了应有的作用</w:t>
      </w:r>
      <w:r>
        <w:rPr>
          <w:rFonts w:ascii="Arial" w:hAnsi="Arial" w:cs="Arial"/>
          <w:color w:val="333333"/>
          <w:sz w:val="20"/>
          <w:szCs w:val="20"/>
        </w:rPr>
        <w:t>;</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五</w:t>
      </w:r>
      <w:r>
        <w:rPr>
          <w:rFonts w:ascii="Arial" w:hAnsi="Arial" w:cs="Arial"/>
          <w:color w:val="333333"/>
          <w:sz w:val="20"/>
          <w:szCs w:val="20"/>
        </w:rPr>
        <w:t>)</w:t>
      </w:r>
      <w:r>
        <w:rPr>
          <w:rFonts w:ascii="Arial" w:hAnsi="Arial" w:cs="Arial"/>
          <w:color w:val="333333"/>
          <w:sz w:val="20"/>
          <w:szCs w:val="20"/>
        </w:rPr>
        <w:t>中小股东是否有充分表达意见和诉求的机会，中小股东的合法权益是否得到了充分保护等。</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对现金分红政策进行调整或变更的，还应对调整或变更的条件及程序是否合规和透明等进行详细说明。</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第九条　拟发行证券、借壳上市、重大资产重组、合并分立或者因收购导致上市公司控制权发生变更的，应当在募集说明书或发行预案、重大资产重组报告书、权益变动报告书或者收购报告书中详细披露募集或发行、重组或者控制权发生变更后上市公司的现金分红政策及相应的安排、董事会对上述情况的说明等信息。</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lastRenderedPageBreak/>
        <w:t xml:space="preserve">　　第十条　上市公司可以依法发行优先股、回购股份。</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支持上市公司在其股价低于每股净资产的情形下</w:t>
      </w:r>
      <w:r>
        <w:rPr>
          <w:rFonts w:ascii="Arial" w:hAnsi="Arial" w:cs="Arial"/>
          <w:color w:val="333333"/>
          <w:sz w:val="20"/>
          <w:szCs w:val="20"/>
        </w:rPr>
        <w:t>(</w:t>
      </w:r>
      <w:r>
        <w:rPr>
          <w:rFonts w:ascii="Arial" w:hAnsi="Arial" w:cs="Arial"/>
          <w:color w:val="333333"/>
          <w:sz w:val="20"/>
          <w:szCs w:val="20"/>
        </w:rPr>
        <w:t>亏损公司除外</w:t>
      </w:r>
      <w:r>
        <w:rPr>
          <w:rFonts w:ascii="Arial" w:hAnsi="Arial" w:cs="Arial"/>
          <w:color w:val="333333"/>
          <w:sz w:val="20"/>
          <w:szCs w:val="20"/>
        </w:rPr>
        <w:t>)</w:t>
      </w:r>
      <w:r>
        <w:rPr>
          <w:rFonts w:ascii="Arial" w:hAnsi="Arial" w:cs="Arial"/>
          <w:color w:val="333333"/>
          <w:sz w:val="20"/>
          <w:szCs w:val="20"/>
        </w:rPr>
        <w:t>回购股份。</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第十一条　上市公司应当采取有效措施鼓励广大中小投资者以及机构投资者主动参与上市公司利润分配事项的决策。充分发挥中介机构的专业引导作用。</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第十二条　证券监管机构在日常监管工作中，应当对下列情形予以重点关注：</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一</w:t>
      </w:r>
      <w:r>
        <w:rPr>
          <w:rFonts w:ascii="Arial" w:hAnsi="Arial" w:cs="Arial"/>
          <w:color w:val="333333"/>
          <w:sz w:val="20"/>
          <w:szCs w:val="20"/>
        </w:rPr>
        <w:t>)</w:t>
      </w:r>
      <w:r>
        <w:rPr>
          <w:rFonts w:ascii="Arial" w:hAnsi="Arial" w:cs="Arial"/>
          <w:color w:val="333333"/>
          <w:sz w:val="20"/>
          <w:szCs w:val="20"/>
        </w:rPr>
        <w:t>公司章程中没有明确、清晰的股东回报规划或者具体的现金分红政策的，重点关注其中的具体原因，相关决策程序是否合法合规，董事、监事、高级管理人员是否勤勉尽责，独立董事是否出具了明确意见等</w:t>
      </w:r>
      <w:r>
        <w:rPr>
          <w:rFonts w:ascii="Arial" w:hAnsi="Arial" w:cs="Arial"/>
          <w:color w:val="333333"/>
          <w:sz w:val="20"/>
          <w:szCs w:val="20"/>
        </w:rPr>
        <w:t>;</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二</w:t>
      </w:r>
      <w:r>
        <w:rPr>
          <w:rFonts w:ascii="Arial" w:hAnsi="Arial" w:cs="Arial"/>
          <w:color w:val="333333"/>
          <w:sz w:val="20"/>
          <w:szCs w:val="20"/>
        </w:rPr>
        <w:t>)</w:t>
      </w:r>
      <w:r>
        <w:rPr>
          <w:rFonts w:ascii="Arial" w:hAnsi="Arial" w:cs="Arial"/>
          <w:color w:val="333333"/>
          <w:sz w:val="20"/>
          <w:szCs w:val="20"/>
        </w:rPr>
        <w:t>公司章程规定不进行现金分红的，重点关注该等规定是否符合公司的实际情况，是否进行了充分的自我评价，独立董事是否出具了明确意见等</w:t>
      </w:r>
      <w:r>
        <w:rPr>
          <w:rFonts w:ascii="Arial" w:hAnsi="Arial" w:cs="Arial"/>
          <w:color w:val="333333"/>
          <w:sz w:val="20"/>
          <w:szCs w:val="20"/>
        </w:rPr>
        <w:t>;</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三</w:t>
      </w:r>
      <w:r>
        <w:rPr>
          <w:rFonts w:ascii="Arial" w:hAnsi="Arial" w:cs="Arial"/>
          <w:color w:val="333333"/>
          <w:sz w:val="20"/>
          <w:szCs w:val="20"/>
        </w:rPr>
        <w:t>)</w:t>
      </w:r>
      <w:r>
        <w:rPr>
          <w:rFonts w:ascii="Arial" w:hAnsi="Arial" w:cs="Arial"/>
          <w:color w:val="333333"/>
          <w:sz w:val="20"/>
          <w:szCs w:val="20"/>
        </w:rPr>
        <w:t>公司章程规定了现金分红政策，但无法按照既定现金分红政策确定当年利润分配方案的，重点关注公司是否按照要求在年度报告中披露了具体原因，相关原因与实际情况是否相符合，独立董事是否出具了明确意见等</w:t>
      </w:r>
      <w:r>
        <w:rPr>
          <w:rFonts w:ascii="Arial" w:hAnsi="Arial" w:cs="Arial"/>
          <w:color w:val="333333"/>
          <w:sz w:val="20"/>
          <w:szCs w:val="20"/>
        </w:rPr>
        <w:t>;</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四</w:t>
      </w:r>
      <w:r>
        <w:rPr>
          <w:rFonts w:ascii="Arial" w:hAnsi="Arial" w:cs="Arial"/>
          <w:color w:val="333333"/>
          <w:sz w:val="20"/>
          <w:szCs w:val="20"/>
        </w:rPr>
        <w:t>)</w:t>
      </w:r>
      <w:r>
        <w:rPr>
          <w:rFonts w:ascii="Arial" w:hAnsi="Arial" w:cs="Arial"/>
          <w:color w:val="333333"/>
          <w:sz w:val="20"/>
          <w:szCs w:val="20"/>
        </w:rPr>
        <w:t>上市公司在年度报告期内有能力分红但不分红尤其是连续多年不分红或者分红水平较低的，重点关注其有关审议通过年度报告的董事会公告中是否详细披露了未进行现金分红或现金分红水平较低的原因，相关原因与实际情况是否相符合，持续关注留存未分配利润的确切用途以及收益情况，独立董事是否对未进行现金分红或现金分红水平较低的合理性发表独立意见，是否按照规定为中小股东参与决策提供了便利等</w:t>
      </w:r>
      <w:r>
        <w:rPr>
          <w:rFonts w:ascii="Arial" w:hAnsi="Arial" w:cs="Arial"/>
          <w:color w:val="333333"/>
          <w:sz w:val="20"/>
          <w:szCs w:val="20"/>
        </w:rPr>
        <w:t>;</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五</w:t>
      </w:r>
      <w:r>
        <w:rPr>
          <w:rFonts w:ascii="Arial" w:hAnsi="Arial" w:cs="Arial"/>
          <w:color w:val="333333"/>
          <w:sz w:val="20"/>
          <w:szCs w:val="20"/>
        </w:rPr>
        <w:t>)</w:t>
      </w:r>
      <w:r>
        <w:rPr>
          <w:rFonts w:ascii="Arial" w:hAnsi="Arial" w:cs="Arial"/>
          <w:color w:val="333333"/>
          <w:sz w:val="20"/>
          <w:szCs w:val="20"/>
        </w:rPr>
        <w:t>上市公司存在大比例现金分红等情形的，重点关注相关决策程序是否合法合规，董事、监事及高级管理人员是否勤勉尽责，独立董事是否出具了明确意见，是否按照规定为中小股东参与决策提供了便利，是否存在明显不合理或相关股东滥用股东权利不当干预公司决策等情形。</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第十三条　上市公司有下列情形的，证券监管机构应采取相应的监管措施：</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一</w:t>
      </w:r>
      <w:r>
        <w:rPr>
          <w:rFonts w:ascii="Arial" w:hAnsi="Arial" w:cs="Arial"/>
          <w:color w:val="333333"/>
          <w:sz w:val="20"/>
          <w:szCs w:val="20"/>
        </w:rPr>
        <w:t>)</w:t>
      </w:r>
      <w:r>
        <w:rPr>
          <w:rFonts w:ascii="Arial" w:hAnsi="Arial" w:cs="Arial"/>
          <w:color w:val="333333"/>
          <w:sz w:val="20"/>
          <w:szCs w:val="20"/>
        </w:rPr>
        <w:t>未按规定制定明确的股东回报规划</w:t>
      </w:r>
      <w:r>
        <w:rPr>
          <w:rFonts w:ascii="Arial" w:hAnsi="Arial" w:cs="Arial"/>
          <w:color w:val="333333"/>
          <w:sz w:val="20"/>
          <w:szCs w:val="20"/>
        </w:rPr>
        <w:t>;</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二</w:t>
      </w:r>
      <w:r>
        <w:rPr>
          <w:rFonts w:ascii="Arial" w:hAnsi="Arial" w:cs="Arial"/>
          <w:color w:val="333333"/>
          <w:sz w:val="20"/>
          <w:szCs w:val="20"/>
        </w:rPr>
        <w:t>)</w:t>
      </w:r>
      <w:r>
        <w:rPr>
          <w:rFonts w:ascii="Arial" w:hAnsi="Arial" w:cs="Arial"/>
          <w:color w:val="333333"/>
          <w:sz w:val="20"/>
          <w:szCs w:val="20"/>
        </w:rPr>
        <w:t>未针对现金分红等利润分配政策制定并履行必要的决策程序</w:t>
      </w:r>
      <w:r>
        <w:rPr>
          <w:rFonts w:ascii="Arial" w:hAnsi="Arial" w:cs="Arial"/>
          <w:color w:val="333333"/>
          <w:sz w:val="20"/>
          <w:szCs w:val="20"/>
        </w:rPr>
        <w:t>;</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三</w:t>
      </w:r>
      <w:r>
        <w:rPr>
          <w:rFonts w:ascii="Arial" w:hAnsi="Arial" w:cs="Arial"/>
          <w:color w:val="333333"/>
          <w:sz w:val="20"/>
          <w:szCs w:val="20"/>
        </w:rPr>
        <w:t>)</w:t>
      </w:r>
      <w:r>
        <w:rPr>
          <w:rFonts w:ascii="Arial" w:hAnsi="Arial" w:cs="Arial"/>
          <w:color w:val="333333"/>
          <w:sz w:val="20"/>
          <w:szCs w:val="20"/>
        </w:rPr>
        <w:t>未在定期报告或其他报告中详细披露现金分红政策的制定及执行情况</w:t>
      </w:r>
      <w:r>
        <w:rPr>
          <w:rFonts w:ascii="Arial" w:hAnsi="Arial" w:cs="Arial"/>
          <w:color w:val="333333"/>
          <w:sz w:val="20"/>
          <w:szCs w:val="20"/>
        </w:rPr>
        <w:t>;</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四</w:t>
      </w:r>
      <w:r>
        <w:rPr>
          <w:rFonts w:ascii="Arial" w:hAnsi="Arial" w:cs="Arial"/>
          <w:color w:val="333333"/>
          <w:sz w:val="20"/>
          <w:szCs w:val="20"/>
        </w:rPr>
        <w:t>)</w:t>
      </w:r>
      <w:r>
        <w:rPr>
          <w:rFonts w:ascii="Arial" w:hAnsi="Arial" w:cs="Arial"/>
          <w:color w:val="333333"/>
          <w:sz w:val="20"/>
          <w:szCs w:val="20"/>
        </w:rPr>
        <w:t>章程有明确规定但未按照规定分红</w:t>
      </w:r>
      <w:r>
        <w:rPr>
          <w:rFonts w:ascii="Arial" w:hAnsi="Arial" w:cs="Arial"/>
          <w:color w:val="333333"/>
          <w:sz w:val="20"/>
          <w:szCs w:val="20"/>
        </w:rPr>
        <w:t>;</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w:t>
      </w:r>
      <w:r>
        <w:rPr>
          <w:rFonts w:ascii="Arial" w:hAnsi="Arial" w:cs="Arial"/>
          <w:color w:val="333333"/>
          <w:sz w:val="20"/>
          <w:szCs w:val="20"/>
        </w:rPr>
        <w:t>五</w:t>
      </w:r>
      <w:r>
        <w:rPr>
          <w:rFonts w:ascii="Arial" w:hAnsi="Arial" w:cs="Arial"/>
          <w:color w:val="333333"/>
          <w:sz w:val="20"/>
          <w:szCs w:val="20"/>
        </w:rPr>
        <w:t>)</w:t>
      </w:r>
      <w:r>
        <w:rPr>
          <w:rFonts w:ascii="Arial" w:hAnsi="Arial" w:cs="Arial"/>
          <w:color w:val="333333"/>
          <w:sz w:val="20"/>
          <w:szCs w:val="20"/>
        </w:rPr>
        <w:t>现金分红监管中发现的其他违法违规情形。</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上市公司在有关利润分配政策的陈述或者说明中有虚假或重大遗漏的，证券监管机构应当采取相应的监管措施</w:t>
      </w:r>
      <w:r>
        <w:rPr>
          <w:rFonts w:ascii="Arial" w:hAnsi="Arial" w:cs="Arial"/>
          <w:color w:val="333333"/>
          <w:sz w:val="20"/>
          <w:szCs w:val="20"/>
        </w:rPr>
        <w:t>;</w:t>
      </w:r>
      <w:r>
        <w:rPr>
          <w:rFonts w:ascii="Arial" w:hAnsi="Arial" w:cs="Arial"/>
          <w:color w:val="333333"/>
          <w:sz w:val="20"/>
          <w:szCs w:val="20"/>
        </w:rPr>
        <w:t>依法应当行政处罚的，依照《证券法》第一百九十三条予以处罚。</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第十四条　证券监管机构应当将现金分红监管中的监管措施实施情况按照规定记入上市公司诚信档案。上市公司涉及再融资、资产重组事项时，其诚信状况应当在审核中予以重点关注。</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第十五条　本指引由中国证券监督管理委员会负责解释。</w:t>
      </w:r>
    </w:p>
    <w:p w:rsidR="00710157" w:rsidRDefault="00710157" w:rsidP="00710157">
      <w:pPr>
        <w:pStyle w:val="a5"/>
        <w:shd w:val="clear" w:color="auto" w:fill="FFFFFF"/>
        <w:spacing w:before="0" w:beforeAutospacing="0" w:after="0" w:afterAutospacing="0" w:line="420" w:lineRule="atLeast"/>
        <w:rPr>
          <w:rFonts w:ascii="Arial" w:hAnsi="Arial" w:cs="Arial"/>
          <w:color w:val="333333"/>
          <w:sz w:val="20"/>
          <w:szCs w:val="20"/>
        </w:rPr>
      </w:pPr>
      <w:r>
        <w:rPr>
          <w:rFonts w:ascii="Arial" w:hAnsi="Arial" w:cs="Arial"/>
          <w:color w:val="333333"/>
          <w:sz w:val="20"/>
          <w:szCs w:val="20"/>
        </w:rPr>
        <w:t xml:space="preserve">　　第十六条　本指引自公布之日起施行。</w:t>
      </w:r>
    </w:p>
    <w:p w:rsidR="00710157" w:rsidRPr="00710157" w:rsidRDefault="00710157"/>
    <w:sectPr w:rsidR="00710157" w:rsidRPr="00710157" w:rsidSect="00B92B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F92" w:rsidRDefault="00837F92" w:rsidP="00710157">
      <w:r>
        <w:separator/>
      </w:r>
    </w:p>
  </w:endnote>
  <w:endnote w:type="continuationSeparator" w:id="1">
    <w:p w:rsidR="00837F92" w:rsidRDefault="00837F92" w:rsidP="007101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F92" w:rsidRDefault="00837F92" w:rsidP="00710157">
      <w:r>
        <w:separator/>
      </w:r>
    </w:p>
  </w:footnote>
  <w:footnote w:type="continuationSeparator" w:id="1">
    <w:p w:rsidR="00837F92" w:rsidRDefault="00837F92" w:rsidP="007101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0157"/>
    <w:rsid w:val="002A6D46"/>
    <w:rsid w:val="00710157"/>
    <w:rsid w:val="007D1FBF"/>
    <w:rsid w:val="00837F92"/>
    <w:rsid w:val="00B92B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B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01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0157"/>
    <w:rPr>
      <w:sz w:val="18"/>
      <w:szCs w:val="18"/>
    </w:rPr>
  </w:style>
  <w:style w:type="paragraph" w:styleId="a4">
    <w:name w:val="footer"/>
    <w:basedOn w:val="a"/>
    <w:link w:val="Char0"/>
    <w:uiPriority w:val="99"/>
    <w:semiHidden/>
    <w:unhideWhenUsed/>
    <w:rsid w:val="007101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0157"/>
    <w:rPr>
      <w:sz w:val="18"/>
      <w:szCs w:val="18"/>
    </w:rPr>
  </w:style>
  <w:style w:type="paragraph" w:styleId="a5">
    <w:name w:val="Normal (Web)"/>
    <w:basedOn w:val="a"/>
    <w:uiPriority w:val="99"/>
    <w:semiHidden/>
    <w:unhideWhenUsed/>
    <w:rsid w:val="0071015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10157"/>
    <w:rPr>
      <w:b/>
      <w:bCs/>
    </w:rPr>
  </w:style>
</w:styles>
</file>

<file path=word/webSettings.xml><?xml version="1.0" encoding="utf-8"?>
<w:webSettings xmlns:r="http://schemas.openxmlformats.org/officeDocument/2006/relationships" xmlns:w="http://schemas.openxmlformats.org/wordprocessingml/2006/main">
  <w:divs>
    <w:div w:id="207300642">
      <w:bodyDiv w:val="1"/>
      <w:marLeft w:val="0"/>
      <w:marRight w:val="0"/>
      <w:marTop w:val="0"/>
      <w:marBottom w:val="0"/>
      <w:divBdr>
        <w:top w:val="none" w:sz="0" w:space="0" w:color="auto"/>
        <w:left w:val="none" w:sz="0" w:space="0" w:color="auto"/>
        <w:bottom w:val="none" w:sz="0" w:space="0" w:color="auto"/>
        <w:right w:val="none" w:sz="0" w:space="0" w:color="auto"/>
      </w:divBdr>
    </w:div>
    <w:div w:id="189623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447</Words>
  <Characters>2549</Characters>
  <Application>Microsoft Office Word</Application>
  <DocSecurity>0</DocSecurity>
  <Lines>21</Lines>
  <Paragraphs>5</Paragraphs>
  <ScaleCrop>false</ScaleCrop>
  <Company>Microsoft</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fffff</dc:creator>
  <cp:keywords/>
  <dc:description/>
  <cp:lastModifiedBy>fffff</cp:lastModifiedBy>
  <cp:revision>3</cp:revision>
  <dcterms:created xsi:type="dcterms:W3CDTF">2015-09-30T03:01:00Z</dcterms:created>
  <dcterms:modified xsi:type="dcterms:W3CDTF">2015-09-30T03:03:00Z</dcterms:modified>
</cp:coreProperties>
</file>