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07" w:rsidRDefault="00B87807"/>
    <w:p w:rsidR="00B87807" w:rsidRDefault="00B87807"/>
    <w:p w:rsidR="00B87807" w:rsidRDefault="00AF01F2">
      <w:pPr>
        <w:autoSpaceDE w:val="0"/>
        <w:autoSpaceDN w:val="0"/>
        <w:adjustRightInd w:val="0"/>
        <w:spacing w:before="1200" w:after="0"/>
        <w:jc w:val="center"/>
        <w:rPr>
          <w:sz w:val="24"/>
        </w:rPr>
      </w:pPr>
      <w:r>
        <w:rPr>
          <w:noProof/>
          <w:sz w:val="24"/>
          <w:lang w:eastAsia="zh-CN"/>
        </w:rPr>
        <w:drawing>
          <wp:inline distT="0" distB="0" distL="114300" distR="114300">
            <wp:extent cx="1974215" cy="853440"/>
            <wp:effectExtent l="0" t="0" r="698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74215" cy="853440"/>
                    </a:xfrm>
                    <a:prstGeom prst="rect">
                      <a:avLst/>
                    </a:prstGeom>
                    <a:noFill/>
                    <a:ln w="9525">
                      <a:noFill/>
                    </a:ln>
                  </pic:spPr>
                </pic:pic>
              </a:graphicData>
            </a:graphic>
          </wp:inline>
        </w:drawing>
      </w:r>
    </w:p>
    <w:p w:rsidR="00B87807" w:rsidRDefault="00AF01F2">
      <w:pPr>
        <w:spacing w:before="200"/>
        <w:jc w:val="center"/>
        <w:rPr>
          <w:b/>
          <w:lang w:eastAsia="zh-CN"/>
        </w:rPr>
      </w:pPr>
      <w:r>
        <w:rPr>
          <w:rFonts w:ascii="宋体" w:eastAsia="宋体" w:hAnsi="宋体" w:cs="宋体" w:hint="eastAsia"/>
          <w:b/>
          <w:bCs/>
          <w:sz w:val="44"/>
          <w:szCs w:val="44"/>
          <w:lang w:eastAsia="zh-CN"/>
        </w:rPr>
        <w:t>深圳广田集团股份有限公司</w:t>
      </w:r>
    </w:p>
    <w:p w:rsidR="00B87807" w:rsidRDefault="00AF01F2">
      <w:pPr>
        <w:jc w:val="center"/>
        <w:rPr>
          <w:rFonts w:ascii="宋体" w:eastAsia="宋体" w:hAnsi="宋体" w:cs="宋体"/>
          <w:b/>
          <w:sz w:val="44"/>
          <w:szCs w:val="44"/>
          <w:lang w:eastAsia="zh-CN"/>
        </w:rPr>
      </w:pPr>
      <w:r>
        <w:rPr>
          <w:rFonts w:ascii="宋体" w:eastAsia="宋体" w:hAnsi="宋体" w:cs="宋体" w:hint="eastAsia"/>
          <w:b/>
          <w:sz w:val="44"/>
          <w:szCs w:val="44"/>
          <w:lang w:eastAsia="zh-CN"/>
        </w:rPr>
        <w:t>公开发行可转换公司债券募集资金使用的</w:t>
      </w:r>
    </w:p>
    <w:p w:rsidR="00B87807" w:rsidRDefault="00AF01F2">
      <w:pPr>
        <w:jc w:val="center"/>
        <w:rPr>
          <w:rFonts w:ascii="宋体" w:eastAsia="宋体" w:hAnsi="宋体" w:cs="宋体"/>
          <w:b/>
          <w:sz w:val="44"/>
          <w:szCs w:val="44"/>
          <w:lang w:eastAsia="zh-CN"/>
        </w:rPr>
      </w:pPr>
      <w:r>
        <w:rPr>
          <w:rFonts w:ascii="宋体" w:eastAsia="宋体" w:hAnsi="宋体" w:cs="宋体" w:hint="eastAsia"/>
          <w:b/>
          <w:sz w:val="44"/>
          <w:szCs w:val="44"/>
          <w:lang w:eastAsia="zh-CN"/>
        </w:rPr>
        <w:t>可行性分析报告</w:t>
      </w:r>
    </w:p>
    <w:p w:rsidR="00B87807" w:rsidRDefault="00B87807">
      <w:pPr>
        <w:jc w:val="center"/>
        <w:rPr>
          <w:rFonts w:ascii="宋体" w:eastAsia="宋体" w:hAnsi="宋体" w:cs="宋体"/>
          <w:sz w:val="44"/>
          <w:szCs w:val="44"/>
          <w:lang w:eastAsia="zh-CN"/>
        </w:rPr>
      </w:pPr>
    </w:p>
    <w:p w:rsidR="00B87807" w:rsidRDefault="00B87807">
      <w:pPr>
        <w:jc w:val="center"/>
        <w:rPr>
          <w:rFonts w:ascii="宋体" w:eastAsia="宋体" w:hAnsi="宋体" w:cs="宋体"/>
          <w:sz w:val="44"/>
          <w:szCs w:val="44"/>
          <w:lang w:eastAsia="zh-CN"/>
        </w:rPr>
      </w:pPr>
    </w:p>
    <w:p w:rsidR="00B87807" w:rsidRDefault="00B87807">
      <w:pPr>
        <w:jc w:val="center"/>
        <w:rPr>
          <w:rFonts w:ascii="宋体" w:eastAsia="宋体" w:hAnsi="宋体" w:cs="宋体"/>
          <w:sz w:val="44"/>
          <w:szCs w:val="44"/>
          <w:lang w:eastAsia="zh-CN"/>
        </w:rPr>
      </w:pPr>
    </w:p>
    <w:p w:rsidR="00B87807" w:rsidRDefault="00B87807">
      <w:pPr>
        <w:jc w:val="center"/>
        <w:rPr>
          <w:rFonts w:ascii="宋体" w:eastAsia="宋体" w:hAnsi="宋体" w:cs="宋体"/>
          <w:sz w:val="44"/>
          <w:szCs w:val="44"/>
          <w:lang w:eastAsia="zh-CN"/>
        </w:rPr>
      </w:pPr>
    </w:p>
    <w:p w:rsidR="00B87807" w:rsidRDefault="00B87807">
      <w:pPr>
        <w:jc w:val="center"/>
        <w:rPr>
          <w:rFonts w:ascii="宋体" w:eastAsia="宋体" w:hAnsi="宋体" w:cs="宋体"/>
          <w:sz w:val="44"/>
          <w:szCs w:val="44"/>
          <w:lang w:eastAsia="zh-CN"/>
        </w:rPr>
      </w:pPr>
    </w:p>
    <w:p w:rsidR="00B87807" w:rsidRDefault="00B87807">
      <w:pPr>
        <w:jc w:val="center"/>
        <w:rPr>
          <w:rFonts w:ascii="宋体" w:eastAsia="宋体" w:hAnsi="宋体" w:cs="宋体"/>
          <w:sz w:val="44"/>
          <w:szCs w:val="44"/>
          <w:lang w:eastAsia="zh-CN"/>
        </w:rPr>
      </w:pPr>
    </w:p>
    <w:p w:rsidR="00B87807" w:rsidRDefault="00B87807">
      <w:pPr>
        <w:jc w:val="center"/>
        <w:rPr>
          <w:rFonts w:ascii="宋体" w:eastAsia="宋体" w:hAnsi="宋体" w:cs="宋体"/>
          <w:sz w:val="44"/>
          <w:szCs w:val="44"/>
          <w:lang w:eastAsia="zh-CN"/>
        </w:rPr>
      </w:pPr>
    </w:p>
    <w:p w:rsidR="00B87807" w:rsidRPr="004A0D26" w:rsidRDefault="00AF01F2">
      <w:pPr>
        <w:jc w:val="center"/>
        <w:rPr>
          <w:rFonts w:ascii="宋体" w:eastAsia="宋体" w:hAnsi="宋体" w:cs="宋体"/>
          <w:b/>
          <w:sz w:val="32"/>
          <w:szCs w:val="32"/>
          <w:lang w:eastAsia="zh-CN"/>
        </w:rPr>
      </w:pPr>
      <w:r w:rsidRPr="004A0D26">
        <w:rPr>
          <w:rFonts w:ascii="宋体" w:eastAsia="宋体" w:hAnsi="宋体" w:cs="宋体"/>
          <w:b/>
          <w:spacing w:val="1"/>
          <w:sz w:val="32"/>
          <w:szCs w:val="32"/>
          <w:lang w:eastAsia="zh-CN"/>
        </w:rPr>
        <w:t>二〇</w:t>
      </w:r>
      <w:r w:rsidRPr="004A0D26">
        <w:rPr>
          <w:rFonts w:ascii="宋体" w:eastAsia="宋体" w:hAnsi="宋体" w:cs="宋体"/>
          <w:b/>
          <w:sz w:val="32"/>
          <w:szCs w:val="32"/>
          <w:lang w:eastAsia="zh-CN"/>
        </w:rPr>
        <w:t>一</w:t>
      </w:r>
      <w:r w:rsidRPr="004A0D26">
        <w:rPr>
          <w:rFonts w:ascii="宋体" w:eastAsia="宋体" w:hAnsi="宋体" w:cs="宋体"/>
          <w:b/>
          <w:spacing w:val="1"/>
          <w:sz w:val="32"/>
          <w:szCs w:val="32"/>
          <w:lang w:eastAsia="zh-CN"/>
        </w:rPr>
        <w:t>七年</w:t>
      </w:r>
      <w:r w:rsidRPr="004A0D26">
        <w:rPr>
          <w:rFonts w:ascii="宋体" w:eastAsia="宋体" w:hAnsi="宋体" w:cs="宋体" w:hint="eastAsia"/>
          <w:b/>
          <w:spacing w:val="1"/>
          <w:sz w:val="32"/>
          <w:szCs w:val="32"/>
          <w:lang w:eastAsia="zh-CN"/>
        </w:rPr>
        <w:t>八</w:t>
      </w:r>
      <w:r w:rsidRPr="004A0D26">
        <w:rPr>
          <w:rFonts w:ascii="宋体" w:eastAsia="宋体" w:hAnsi="宋体" w:cs="宋体"/>
          <w:b/>
          <w:sz w:val="32"/>
          <w:szCs w:val="32"/>
          <w:lang w:eastAsia="zh-CN"/>
        </w:rPr>
        <w:t>月</w:t>
      </w:r>
    </w:p>
    <w:p w:rsidR="00B87807" w:rsidRDefault="00B87807">
      <w:pPr>
        <w:jc w:val="center"/>
        <w:rPr>
          <w:rFonts w:ascii="宋体" w:eastAsia="宋体" w:hAnsi="宋体" w:cs="宋体"/>
          <w:sz w:val="32"/>
          <w:szCs w:val="32"/>
          <w:lang w:eastAsia="zh-CN"/>
        </w:rPr>
      </w:pPr>
    </w:p>
    <w:p w:rsidR="00B87807" w:rsidRDefault="00AF01F2" w:rsidP="00F464BD">
      <w:pPr>
        <w:spacing w:beforeLines="50" w:afterLines="50" w:line="440" w:lineRule="exact"/>
        <w:ind w:firstLine="573"/>
        <w:outlineLvl w:val="0"/>
        <w:rPr>
          <w:rFonts w:ascii="宋体" w:eastAsia="宋体" w:hAnsi="宋体" w:cs="宋体"/>
          <w:sz w:val="28"/>
          <w:szCs w:val="28"/>
          <w:lang w:eastAsia="zh-CN"/>
        </w:rPr>
      </w:pPr>
      <w:r>
        <w:rPr>
          <w:rFonts w:ascii="宋体" w:eastAsia="宋体" w:hAnsi="宋体" w:cs="宋体" w:hint="eastAsia"/>
          <w:sz w:val="28"/>
          <w:szCs w:val="28"/>
          <w:lang w:eastAsia="zh-CN"/>
        </w:rPr>
        <w:lastRenderedPageBreak/>
        <w:t>一、本次发行募集资金的使用计划</w:t>
      </w:r>
    </w:p>
    <w:p w:rsidR="00B87807" w:rsidRDefault="00AF01F2" w:rsidP="00F464BD">
      <w:pPr>
        <w:spacing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本次公开发行可转换公司债券募集资金总额不超过人民币</w:t>
      </w:r>
      <w:r>
        <w:rPr>
          <w:rFonts w:eastAsia="宋体" w:hAnsi="Times New Roman" w:cs="宋体" w:hint="eastAsia"/>
          <w:sz w:val="24"/>
          <w:szCs w:val="24"/>
          <w:lang w:eastAsia="zh-CN"/>
        </w:rPr>
        <w:t>125</w:t>
      </w:r>
      <w:r>
        <w:rPr>
          <w:rFonts w:eastAsia="宋体" w:hAnsi="宋体" w:cs="宋体" w:hint="eastAsia"/>
          <w:sz w:val="24"/>
          <w:szCs w:val="24"/>
          <w:lang w:eastAsia="zh-CN"/>
        </w:rPr>
        <w:t>,</w:t>
      </w:r>
      <w:r>
        <w:rPr>
          <w:rFonts w:eastAsia="宋体" w:hAnsi="Times New Roman" w:cs="宋体" w:hint="eastAsia"/>
          <w:sz w:val="24"/>
          <w:szCs w:val="24"/>
          <w:lang w:eastAsia="zh-CN"/>
        </w:rPr>
        <w:t>000</w:t>
      </w:r>
      <w:r>
        <w:rPr>
          <w:rFonts w:eastAsia="宋体" w:hAnsi="宋体" w:cs="宋体" w:hint="eastAsia"/>
          <w:sz w:val="24"/>
          <w:szCs w:val="24"/>
          <w:lang w:eastAsia="zh-CN"/>
        </w:rPr>
        <w:t>.</w:t>
      </w:r>
      <w:r>
        <w:rPr>
          <w:rFonts w:eastAsia="宋体" w:hAnsi="Times New Roman" w:cs="宋体" w:hint="eastAsia"/>
          <w:sz w:val="24"/>
          <w:szCs w:val="24"/>
          <w:lang w:eastAsia="zh-CN"/>
        </w:rPr>
        <w:t>00</w:t>
      </w:r>
      <w:r>
        <w:rPr>
          <w:rFonts w:ascii="宋体" w:eastAsia="宋体" w:hAnsi="宋体" w:cs="宋体" w:hint="eastAsia"/>
          <w:sz w:val="24"/>
          <w:szCs w:val="24"/>
          <w:lang w:eastAsia="zh-CN"/>
        </w:rPr>
        <w:t>万元（含</w:t>
      </w:r>
      <w:r>
        <w:rPr>
          <w:rFonts w:eastAsia="宋体" w:hAnsi="Times New Roman" w:cs="宋体" w:hint="eastAsia"/>
          <w:sz w:val="24"/>
          <w:szCs w:val="24"/>
          <w:lang w:eastAsia="zh-CN"/>
        </w:rPr>
        <w:t>125</w:t>
      </w:r>
      <w:r>
        <w:rPr>
          <w:rFonts w:eastAsia="宋体" w:hAnsi="宋体" w:cs="宋体" w:hint="eastAsia"/>
          <w:sz w:val="24"/>
          <w:szCs w:val="24"/>
          <w:lang w:eastAsia="zh-CN"/>
        </w:rPr>
        <w:t>,</w:t>
      </w:r>
      <w:r>
        <w:rPr>
          <w:rFonts w:eastAsia="宋体" w:hAnsi="Times New Roman" w:cs="宋体" w:hint="eastAsia"/>
          <w:sz w:val="24"/>
          <w:szCs w:val="24"/>
          <w:lang w:eastAsia="zh-CN"/>
        </w:rPr>
        <w:t>000</w:t>
      </w:r>
      <w:r>
        <w:rPr>
          <w:rFonts w:ascii="宋体" w:eastAsia="宋体" w:hAnsi="宋体" w:cs="宋体" w:hint="eastAsia"/>
          <w:sz w:val="24"/>
          <w:szCs w:val="24"/>
          <w:lang w:eastAsia="zh-CN"/>
        </w:rPr>
        <w:t>万元），募集资金拟用于“广田设计中心建设项目”、“信息化建设项目”、“</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技术应用中心建设项目”以及补充流动资金。具体如下：</w:t>
      </w:r>
    </w:p>
    <w:p w:rsidR="00B87807" w:rsidRDefault="00AF01F2">
      <w:pPr>
        <w:spacing w:after="0" w:line="440" w:lineRule="exact"/>
        <w:rPr>
          <w:rFonts w:ascii="宋体" w:eastAsia="宋体" w:hAnsi="宋体" w:cs="宋体"/>
          <w:sz w:val="24"/>
          <w:szCs w:val="24"/>
        </w:rPr>
      </w:pPr>
      <w:r>
        <w:rPr>
          <w:rFonts w:ascii="宋体" w:eastAsia="宋体" w:hAnsi="宋体" w:cs="宋体" w:hint="eastAsia"/>
          <w:sz w:val="21"/>
          <w:szCs w:val="21"/>
          <w:lang w:eastAsia="zh-CN"/>
        </w:rPr>
        <w:t xml:space="preserve">                                                                     单位：万元</w:t>
      </w:r>
    </w:p>
    <w:tbl>
      <w:tblPr>
        <w:tblW w:w="8336" w:type="dxa"/>
        <w:tblInd w:w="1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tblPr>
      <w:tblGrid>
        <w:gridCol w:w="808"/>
        <w:gridCol w:w="3543"/>
        <w:gridCol w:w="1841"/>
        <w:gridCol w:w="2144"/>
      </w:tblGrid>
      <w:tr w:rsidR="00B87807">
        <w:trPr>
          <w:cantSplit/>
          <w:trHeight w:hRule="exact" w:val="397"/>
        </w:trPr>
        <w:tc>
          <w:tcPr>
            <w:tcW w:w="808" w:type="dxa"/>
            <w:tcBorders>
              <w:top w:val="single" w:sz="12" w:space="0" w:color="auto"/>
              <w:left w:val="single" w:sz="12"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b/>
                <w:sz w:val="21"/>
              </w:rPr>
            </w:pPr>
            <w:r>
              <w:rPr>
                <w:rFonts w:ascii="Times New Roman" w:eastAsia="宋体" w:hAnsi="Times New Roman" w:cs="Times New Roman"/>
                <w:b/>
                <w:sz w:val="21"/>
              </w:rPr>
              <w:t>序号</w:t>
            </w:r>
          </w:p>
        </w:tc>
        <w:tc>
          <w:tcPr>
            <w:tcW w:w="3543" w:type="dxa"/>
            <w:tcBorders>
              <w:top w:val="single" w:sz="12"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b/>
                <w:sz w:val="21"/>
              </w:rPr>
            </w:pPr>
            <w:r>
              <w:rPr>
                <w:rFonts w:ascii="Times New Roman" w:eastAsia="宋体" w:hAnsi="Times New Roman" w:cs="Times New Roman"/>
                <w:b/>
                <w:sz w:val="21"/>
              </w:rPr>
              <w:t>项目名称</w:t>
            </w:r>
          </w:p>
        </w:tc>
        <w:tc>
          <w:tcPr>
            <w:tcW w:w="1841" w:type="dxa"/>
            <w:tcBorders>
              <w:top w:val="single" w:sz="12"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b/>
                <w:sz w:val="21"/>
              </w:rPr>
            </w:pPr>
            <w:r>
              <w:rPr>
                <w:rFonts w:ascii="Times New Roman" w:eastAsia="宋体" w:hAnsi="Times New Roman" w:cs="Times New Roman"/>
                <w:b/>
                <w:sz w:val="21"/>
              </w:rPr>
              <w:t>项目总投资</w:t>
            </w:r>
          </w:p>
        </w:tc>
        <w:tc>
          <w:tcPr>
            <w:tcW w:w="2144" w:type="dxa"/>
            <w:tcBorders>
              <w:top w:val="single" w:sz="12" w:space="0" w:color="auto"/>
              <w:left w:val="single" w:sz="6" w:space="0" w:color="auto"/>
              <w:bottom w:val="single" w:sz="6" w:space="0" w:color="auto"/>
              <w:right w:val="single" w:sz="12"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b/>
                <w:sz w:val="21"/>
              </w:rPr>
            </w:pPr>
            <w:r>
              <w:rPr>
                <w:rFonts w:ascii="Times New Roman" w:eastAsia="宋体" w:hAnsi="Times New Roman" w:cs="Times New Roman"/>
                <w:b/>
                <w:sz w:val="21"/>
              </w:rPr>
              <w:t>拟使用募集资金金额</w:t>
            </w:r>
          </w:p>
        </w:tc>
      </w:tr>
      <w:tr w:rsidR="00B87807">
        <w:trPr>
          <w:cantSplit/>
          <w:trHeight w:hRule="exact" w:val="397"/>
        </w:trPr>
        <w:tc>
          <w:tcPr>
            <w:tcW w:w="808" w:type="dxa"/>
            <w:tcBorders>
              <w:top w:val="single" w:sz="6" w:space="0" w:color="auto"/>
              <w:left w:val="single" w:sz="12"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sz w:val="21"/>
              </w:rPr>
            </w:pPr>
            <w:r>
              <w:rPr>
                <w:rFonts w:ascii="Times New Roman" w:eastAsia="宋体" w:hAnsi="Times New Roman" w:cs="Times New Roman"/>
                <w:sz w:val="21"/>
              </w:rPr>
              <w:t>1</w:t>
            </w:r>
          </w:p>
        </w:tc>
        <w:tc>
          <w:tcPr>
            <w:tcW w:w="3543" w:type="dxa"/>
            <w:tcBorders>
              <w:top w:val="single" w:sz="6"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rPr>
                <w:rFonts w:ascii="Times New Roman" w:eastAsia="宋体" w:hAnsi="Times New Roman" w:cs="Times New Roman"/>
                <w:sz w:val="21"/>
                <w:lang w:eastAsia="zh-CN"/>
              </w:rPr>
            </w:pPr>
            <w:r>
              <w:rPr>
                <w:rFonts w:ascii="Times New Roman" w:eastAsia="宋体" w:hAnsi="Times New Roman" w:cs="Times New Roman"/>
                <w:sz w:val="21"/>
                <w:lang w:eastAsia="zh-CN"/>
              </w:rPr>
              <w:t>广田设计中心建设项目</w:t>
            </w: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color w:val="000000"/>
                <w:sz w:val="21"/>
                <w:szCs w:val="21"/>
              </w:rPr>
            </w:pPr>
            <w:r>
              <w:rPr>
                <w:rFonts w:eastAsia="宋体" w:hAnsi="Times New Roman" w:cs="Times New Roman"/>
                <w:color w:val="000000"/>
                <w:sz w:val="21"/>
                <w:szCs w:val="21"/>
              </w:rPr>
              <w:t>80,795.99</w:t>
            </w:r>
          </w:p>
        </w:tc>
        <w:tc>
          <w:tcPr>
            <w:tcW w:w="2144" w:type="dxa"/>
            <w:tcBorders>
              <w:top w:val="single" w:sz="6" w:space="0" w:color="auto"/>
              <w:left w:val="single" w:sz="6" w:space="0" w:color="auto"/>
              <w:bottom w:val="single" w:sz="6" w:space="0" w:color="auto"/>
              <w:right w:val="single" w:sz="12"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color w:val="000000"/>
                <w:sz w:val="21"/>
                <w:szCs w:val="21"/>
              </w:rPr>
            </w:pPr>
            <w:r>
              <w:rPr>
                <w:rFonts w:eastAsia="宋体" w:hAnsi="Times New Roman" w:cs="Times New Roman"/>
                <w:color w:val="000000"/>
                <w:sz w:val="21"/>
                <w:szCs w:val="21"/>
              </w:rPr>
              <w:t>74,000.00</w:t>
            </w:r>
          </w:p>
        </w:tc>
      </w:tr>
      <w:tr w:rsidR="00B87807">
        <w:trPr>
          <w:cantSplit/>
          <w:trHeight w:hRule="exact" w:val="397"/>
        </w:trPr>
        <w:tc>
          <w:tcPr>
            <w:tcW w:w="808" w:type="dxa"/>
            <w:tcBorders>
              <w:top w:val="single" w:sz="6" w:space="0" w:color="auto"/>
              <w:left w:val="single" w:sz="12"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sz w:val="21"/>
              </w:rPr>
            </w:pPr>
            <w:r>
              <w:rPr>
                <w:rFonts w:ascii="Times New Roman" w:eastAsia="宋体" w:hAnsi="Times New Roman" w:cs="Times New Roman"/>
                <w:sz w:val="21"/>
              </w:rPr>
              <w:t>2</w:t>
            </w:r>
          </w:p>
        </w:tc>
        <w:tc>
          <w:tcPr>
            <w:tcW w:w="3543" w:type="dxa"/>
            <w:tcBorders>
              <w:top w:val="single" w:sz="6"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rPr>
                <w:rFonts w:ascii="Times New Roman" w:eastAsia="宋体" w:hAnsi="Times New Roman" w:cs="Times New Roman"/>
                <w:sz w:val="21"/>
              </w:rPr>
            </w:pPr>
            <w:r>
              <w:rPr>
                <w:rFonts w:ascii="Times New Roman" w:eastAsia="宋体" w:hAnsi="Times New Roman" w:cs="Times New Roman"/>
                <w:sz w:val="21"/>
              </w:rPr>
              <w:t>信息化建设项目</w:t>
            </w: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color w:val="000000"/>
                <w:sz w:val="21"/>
                <w:szCs w:val="21"/>
              </w:rPr>
            </w:pPr>
            <w:r>
              <w:rPr>
                <w:rFonts w:eastAsia="宋体" w:hAnsi="Times New Roman" w:cs="Times New Roman"/>
                <w:color w:val="000000"/>
                <w:sz w:val="21"/>
                <w:szCs w:val="21"/>
              </w:rPr>
              <w:t>10,900.63</w:t>
            </w:r>
          </w:p>
        </w:tc>
        <w:tc>
          <w:tcPr>
            <w:tcW w:w="2144" w:type="dxa"/>
            <w:tcBorders>
              <w:top w:val="single" w:sz="6" w:space="0" w:color="auto"/>
              <w:left w:val="single" w:sz="6" w:space="0" w:color="auto"/>
              <w:bottom w:val="single" w:sz="6" w:space="0" w:color="auto"/>
              <w:right w:val="single" w:sz="12"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color w:val="000000"/>
                <w:sz w:val="21"/>
                <w:szCs w:val="21"/>
              </w:rPr>
            </w:pPr>
            <w:r>
              <w:rPr>
                <w:rFonts w:eastAsia="宋体" w:hAnsi="Times New Roman" w:cs="Times New Roman"/>
                <w:color w:val="000000"/>
                <w:sz w:val="21"/>
                <w:szCs w:val="21"/>
              </w:rPr>
              <w:t>8,750.00</w:t>
            </w:r>
          </w:p>
        </w:tc>
      </w:tr>
      <w:tr w:rsidR="00B87807">
        <w:trPr>
          <w:cantSplit/>
          <w:trHeight w:hRule="exact" w:val="397"/>
        </w:trPr>
        <w:tc>
          <w:tcPr>
            <w:tcW w:w="808" w:type="dxa"/>
            <w:tcBorders>
              <w:top w:val="single" w:sz="6" w:space="0" w:color="auto"/>
              <w:left w:val="single" w:sz="12"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sz w:val="21"/>
              </w:rPr>
            </w:pPr>
            <w:r>
              <w:rPr>
                <w:rFonts w:ascii="Times New Roman" w:eastAsia="宋体" w:hAnsi="Times New Roman" w:cs="Times New Roman"/>
                <w:sz w:val="21"/>
              </w:rPr>
              <w:t>3</w:t>
            </w:r>
          </w:p>
        </w:tc>
        <w:tc>
          <w:tcPr>
            <w:tcW w:w="3543" w:type="dxa"/>
            <w:tcBorders>
              <w:top w:val="single" w:sz="6"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rPr>
                <w:rFonts w:ascii="Times New Roman" w:eastAsia="宋体" w:hAnsi="Times New Roman" w:cs="Times New Roman"/>
                <w:sz w:val="21"/>
                <w:lang w:eastAsia="zh-CN"/>
              </w:rPr>
            </w:pPr>
            <w:r>
              <w:rPr>
                <w:rFonts w:ascii="Times New Roman" w:eastAsia="宋体" w:hAnsi="Times New Roman" w:cs="Times New Roman"/>
                <w:sz w:val="21"/>
                <w:lang w:eastAsia="zh-CN"/>
              </w:rPr>
              <w:t>BIM</w:t>
            </w:r>
            <w:r>
              <w:rPr>
                <w:rFonts w:ascii="Times New Roman" w:eastAsia="宋体" w:hAnsi="Times New Roman" w:cs="Times New Roman"/>
                <w:sz w:val="21"/>
                <w:lang w:eastAsia="zh-CN"/>
              </w:rPr>
              <w:t>技术应用中心建设项目</w:t>
            </w: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color w:val="000000"/>
                <w:sz w:val="21"/>
                <w:szCs w:val="21"/>
              </w:rPr>
            </w:pPr>
            <w:r>
              <w:rPr>
                <w:rFonts w:eastAsia="宋体" w:hAnsi="Times New Roman" w:cs="Times New Roman"/>
                <w:color w:val="000000"/>
                <w:sz w:val="21"/>
                <w:szCs w:val="21"/>
              </w:rPr>
              <w:t>9,315.50</w:t>
            </w:r>
          </w:p>
        </w:tc>
        <w:tc>
          <w:tcPr>
            <w:tcW w:w="2144" w:type="dxa"/>
            <w:tcBorders>
              <w:top w:val="single" w:sz="6" w:space="0" w:color="auto"/>
              <w:left w:val="single" w:sz="6" w:space="0" w:color="auto"/>
              <w:bottom w:val="single" w:sz="6" w:space="0" w:color="auto"/>
              <w:right w:val="single" w:sz="12"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color w:val="000000"/>
                <w:sz w:val="21"/>
                <w:szCs w:val="21"/>
              </w:rPr>
            </w:pPr>
            <w:r>
              <w:rPr>
                <w:rFonts w:eastAsia="宋体" w:hAnsi="Times New Roman" w:cs="Times New Roman"/>
                <w:color w:val="000000"/>
                <w:sz w:val="21"/>
                <w:szCs w:val="21"/>
              </w:rPr>
              <w:t>7,250.00</w:t>
            </w:r>
          </w:p>
        </w:tc>
      </w:tr>
      <w:tr w:rsidR="00B87807">
        <w:trPr>
          <w:cantSplit/>
          <w:trHeight w:hRule="exact" w:val="397"/>
        </w:trPr>
        <w:tc>
          <w:tcPr>
            <w:tcW w:w="808" w:type="dxa"/>
            <w:tcBorders>
              <w:top w:val="single" w:sz="6" w:space="0" w:color="auto"/>
              <w:left w:val="single" w:sz="12"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sz w:val="21"/>
              </w:rPr>
            </w:pPr>
            <w:r>
              <w:rPr>
                <w:rFonts w:ascii="Times New Roman" w:eastAsia="宋体" w:hAnsi="Times New Roman" w:cs="Times New Roman"/>
                <w:sz w:val="21"/>
              </w:rPr>
              <w:t>4</w:t>
            </w:r>
          </w:p>
        </w:tc>
        <w:tc>
          <w:tcPr>
            <w:tcW w:w="3543" w:type="dxa"/>
            <w:tcBorders>
              <w:top w:val="single" w:sz="6"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rPr>
                <w:rFonts w:ascii="Times New Roman" w:eastAsia="宋体" w:hAnsi="Times New Roman" w:cs="Times New Roman"/>
                <w:sz w:val="21"/>
              </w:rPr>
            </w:pPr>
            <w:r>
              <w:rPr>
                <w:rFonts w:ascii="Times New Roman" w:eastAsia="宋体" w:hAnsi="Times New Roman" w:cs="Times New Roman"/>
                <w:sz w:val="21"/>
              </w:rPr>
              <w:t>补充流动资金</w:t>
            </w: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color w:val="000000"/>
                <w:sz w:val="21"/>
                <w:szCs w:val="21"/>
              </w:rPr>
            </w:pPr>
            <w:r>
              <w:rPr>
                <w:rFonts w:eastAsia="宋体" w:hAnsi="Times New Roman" w:cs="Times New Roman"/>
                <w:color w:val="000000"/>
                <w:sz w:val="21"/>
                <w:szCs w:val="21"/>
              </w:rPr>
              <w:t>35,000.00</w:t>
            </w:r>
          </w:p>
        </w:tc>
        <w:tc>
          <w:tcPr>
            <w:tcW w:w="2144" w:type="dxa"/>
            <w:tcBorders>
              <w:top w:val="single" w:sz="6" w:space="0" w:color="auto"/>
              <w:left w:val="single" w:sz="6" w:space="0" w:color="auto"/>
              <w:bottom w:val="single" w:sz="6" w:space="0" w:color="auto"/>
              <w:right w:val="single" w:sz="12"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color w:val="000000"/>
                <w:sz w:val="21"/>
                <w:szCs w:val="21"/>
              </w:rPr>
            </w:pPr>
            <w:r>
              <w:rPr>
                <w:rFonts w:eastAsia="宋体" w:hAnsi="Times New Roman" w:cs="Times New Roman"/>
                <w:color w:val="000000"/>
                <w:sz w:val="21"/>
                <w:szCs w:val="21"/>
              </w:rPr>
              <w:t>35,000.00</w:t>
            </w:r>
          </w:p>
        </w:tc>
      </w:tr>
      <w:tr w:rsidR="00B87807">
        <w:trPr>
          <w:cantSplit/>
          <w:trHeight w:hRule="exact" w:val="397"/>
        </w:trPr>
        <w:tc>
          <w:tcPr>
            <w:tcW w:w="4351" w:type="dxa"/>
            <w:gridSpan w:val="2"/>
            <w:tcBorders>
              <w:top w:val="single" w:sz="6" w:space="0" w:color="auto"/>
              <w:left w:val="single" w:sz="12" w:space="0" w:color="auto"/>
              <w:bottom w:val="single" w:sz="12" w:space="0" w:color="auto"/>
              <w:right w:val="single" w:sz="6" w:space="0" w:color="auto"/>
              <w:tl2br w:val="nil"/>
              <w:tr2bl w:val="nil"/>
            </w:tcBorders>
            <w:vAlign w:val="center"/>
          </w:tcPr>
          <w:p w:rsidR="00B87807" w:rsidRDefault="00AF01F2">
            <w:pPr>
              <w:adjustRightInd w:val="0"/>
              <w:snapToGrid w:val="0"/>
              <w:spacing w:after="0" w:line="240" w:lineRule="auto"/>
              <w:jc w:val="center"/>
              <w:rPr>
                <w:rFonts w:ascii="Times New Roman" w:eastAsia="宋体" w:hAnsi="Times New Roman" w:cs="Times New Roman"/>
                <w:b/>
                <w:sz w:val="21"/>
              </w:rPr>
            </w:pPr>
            <w:r>
              <w:rPr>
                <w:rFonts w:ascii="Times New Roman" w:eastAsia="宋体" w:hAnsi="Times New Roman" w:cs="Times New Roman"/>
                <w:b/>
                <w:sz w:val="21"/>
              </w:rPr>
              <w:t>合计</w:t>
            </w:r>
          </w:p>
        </w:tc>
        <w:tc>
          <w:tcPr>
            <w:tcW w:w="1841" w:type="dxa"/>
            <w:tcBorders>
              <w:top w:val="single" w:sz="6" w:space="0" w:color="auto"/>
              <w:left w:val="single" w:sz="6" w:space="0" w:color="auto"/>
              <w:bottom w:val="single" w:sz="12" w:space="0" w:color="auto"/>
              <w:right w:val="single" w:sz="6"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b/>
                <w:sz w:val="21"/>
                <w:szCs w:val="21"/>
              </w:rPr>
            </w:pPr>
            <w:r>
              <w:rPr>
                <w:rFonts w:eastAsia="宋体" w:hAnsi="Times New Roman" w:cs="Times New Roman"/>
                <w:b/>
                <w:sz w:val="21"/>
                <w:szCs w:val="21"/>
              </w:rPr>
              <w:t>136,012.12</w:t>
            </w:r>
          </w:p>
        </w:tc>
        <w:tc>
          <w:tcPr>
            <w:tcW w:w="2144" w:type="dxa"/>
            <w:tcBorders>
              <w:top w:val="single" w:sz="6" w:space="0" w:color="auto"/>
              <w:left w:val="single" w:sz="6" w:space="0" w:color="auto"/>
              <w:bottom w:val="single" w:sz="12" w:space="0" w:color="auto"/>
              <w:right w:val="single" w:sz="12" w:space="0" w:color="auto"/>
              <w:tl2br w:val="nil"/>
              <w:tr2bl w:val="nil"/>
            </w:tcBorders>
            <w:vAlign w:val="center"/>
          </w:tcPr>
          <w:p w:rsidR="00B87807" w:rsidRDefault="00AF01F2">
            <w:pPr>
              <w:adjustRightInd w:val="0"/>
              <w:snapToGrid w:val="0"/>
              <w:spacing w:after="0" w:line="240" w:lineRule="auto"/>
              <w:jc w:val="right"/>
              <w:rPr>
                <w:rFonts w:eastAsia="宋体" w:hAnsi="Times New Roman" w:cs="Times New Roman"/>
                <w:b/>
                <w:color w:val="000000"/>
                <w:sz w:val="21"/>
                <w:szCs w:val="21"/>
              </w:rPr>
            </w:pPr>
            <w:r>
              <w:rPr>
                <w:rFonts w:eastAsia="宋体" w:hAnsi="Times New Roman" w:cs="Times New Roman"/>
                <w:b/>
                <w:color w:val="000000"/>
                <w:sz w:val="21"/>
                <w:szCs w:val="21"/>
              </w:rPr>
              <w:t>125,000.00</w:t>
            </w:r>
          </w:p>
        </w:tc>
      </w:tr>
    </w:tbl>
    <w:p w:rsidR="00B87807" w:rsidRDefault="00AF01F2">
      <w:pPr>
        <w:spacing w:after="0" w:line="440" w:lineRule="exact"/>
        <w:ind w:firstLineChars="200" w:firstLine="480"/>
        <w:rPr>
          <w:sz w:val="24"/>
          <w:szCs w:val="24"/>
          <w:lang w:eastAsia="zh-CN"/>
        </w:rPr>
      </w:pPr>
      <w:r>
        <w:rPr>
          <w:rFonts w:ascii="宋体" w:eastAsia="宋体" w:hAnsi="宋体" w:cs="宋体" w:hint="eastAsia"/>
          <w:sz w:val="24"/>
          <w:szCs w:val="24"/>
          <w:lang w:eastAsia="zh-CN"/>
        </w:rPr>
        <w:t>若本次发行实际募集资金净额低于上述项目的拟投入募集资金总额，在不改变本次发行募投项目的前提下，公司董事会可根据项目的实际需求，对上述项目的募集资金投入顺序和金额进行适当调整，不足部分由公司自筹解决。</w:t>
      </w:r>
    </w:p>
    <w:p w:rsidR="00B87807" w:rsidRDefault="00AF01F2">
      <w:pPr>
        <w:spacing w:after="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本次发行募集资金到位前，公司将根据项目进度的实际情况，以自有资金或其他方式筹集的资金先行投入，并在募集资金到位后按照相关法规规定的程序予以置换。</w:t>
      </w:r>
    </w:p>
    <w:p w:rsidR="00B87807" w:rsidRDefault="00AF01F2" w:rsidP="00F464BD">
      <w:pPr>
        <w:spacing w:beforeLines="50" w:afterLines="50" w:line="440" w:lineRule="exact"/>
        <w:ind w:firstLine="573"/>
        <w:outlineLvl w:val="0"/>
        <w:rPr>
          <w:rFonts w:ascii="宋体" w:eastAsia="宋体" w:hAnsi="宋体" w:cs="宋体"/>
          <w:sz w:val="28"/>
          <w:szCs w:val="28"/>
          <w:lang w:eastAsia="zh-CN"/>
        </w:rPr>
      </w:pPr>
      <w:r>
        <w:rPr>
          <w:rFonts w:ascii="宋体" w:eastAsia="宋体" w:hAnsi="宋体" w:cs="宋体" w:hint="eastAsia"/>
          <w:sz w:val="28"/>
          <w:szCs w:val="28"/>
          <w:lang w:eastAsia="zh-CN"/>
        </w:rPr>
        <w:t>二、广田设计中心建设项目</w:t>
      </w:r>
    </w:p>
    <w:p w:rsidR="00B87807" w:rsidRDefault="00AF01F2" w:rsidP="00F464BD">
      <w:pPr>
        <w:spacing w:afterLines="50" w:line="440" w:lineRule="exact"/>
        <w:ind w:firstLine="573"/>
        <w:outlineLvl w:val="1"/>
        <w:rPr>
          <w:rFonts w:ascii="宋体" w:eastAsia="宋体" w:hAnsi="宋体" w:cs="宋体"/>
          <w:sz w:val="28"/>
          <w:szCs w:val="28"/>
          <w:lang w:eastAsia="zh-CN"/>
        </w:rPr>
      </w:pPr>
      <w:r>
        <w:rPr>
          <w:rFonts w:ascii="宋体" w:eastAsia="宋体" w:hAnsi="宋体" w:cs="宋体" w:hint="eastAsia"/>
          <w:sz w:val="24"/>
          <w:szCs w:val="24"/>
          <w:lang w:eastAsia="zh-CN"/>
        </w:rPr>
        <w:t xml:space="preserve">（一）项目基本情况 </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本项目规划总建筑面积约</w:t>
      </w:r>
      <w:r>
        <w:rPr>
          <w:rFonts w:eastAsia="宋体" w:hAnsi="Times New Roman" w:cs="宋体" w:hint="eastAsia"/>
          <w:sz w:val="24"/>
          <w:szCs w:val="24"/>
          <w:lang w:eastAsia="zh-CN"/>
        </w:rPr>
        <w:t>42</w:t>
      </w:r>
      <w:r>
        <w:rPr>
          <w:rFonts w:eastAsia="宋体" w:hAnsi="宋体" w:cs="宋体" w:hint="eastAsia"/>
          <w:sz w:val="24"/>
          <w:szCs w:val="24"/>
          <w:lang w:eastAsia="zh-CN"/>
        </w:rPr>
        <w:t>,</w:t>
      </w:r>
      <w:r>
        <w:rPr>
          <w:rFonts w:eastAsia="宋体" w:hAnsi="Times New Roman" w:cs="宋体" w:hint="eastAsia"/>
          <w:sz w:val="24"/>
          <w:szCs w:val="24"/>
          <w:lang w:eastAsia="zh-CN"/>
        </w:rPr>
        <w:t>995</w:t>
      </w:r>
      <w:r>
        <w:rPr>
          <w:rFonts w:eastAsia="宋体" w:hAnsi="宋体" w:cs="宋体" w:hint="eastAsia"/>
          <w:sz w:val="24"/>
          <w:szCs w:val="24"/>
          <w:lang w:eastAsia="zh-CN"/>
        </w:rPr>
        <w:t>.</w:t>
      </w:r>
      <w:r>
        <w:rPr>
          <w:rFonts w:eastAsia="宋体" w:hAnsi="Times New Roman" w:cs="宋体" w:hint="eastAsia"/>
          <w:sz w:val="24"/>
          <w:szCs w:val="24"/>
          <w:lang w:eastAsia="zh-CN"/>
        </w:rPr>
        <w:t>34</w:t>
      </w:r>
      <w:r>
        <w:rPr>
          <w:rFonts w:ascii="宋体" w:eastAsia="宋体" w:hAnsi="宋体" w:cs="宋体" w:hint="eastAsia"/>
          <w:sz w:val="24"/>
          <w:szCs w:val="24"/>
          <w:lang w:eastAsia="zh-CN"/>
        </w:rPr>
        <w:t>平方米，计划总投资</w:t>
      </w:r>
      <w:r>
        <w:rPr>
          <w:rFonts w:eastAsia="宋体" w:hAnsi="Times New Roman" w:cs="宋体" w:hint="eastAsia"/>
          <w:sz w:val="24"/>
          <w:szCs w:val="24"/>
          <w:lang w:eastAsia="zh-CN"/>
        </w:rPr>
        <w:t>80</w:t>
      </w:r>
      <w:r>
        <w:rPr>
          <w:rFonts w:eastAsia="宋体" w:hAnsi="宋体" w:cs="宋体" w:hint="eastAsia"/>
          <w:sz w:val="24"/>
          <w:szCs w:val="24"/>
          <w:lang w:eastAsia="zh-CN"/>
        </w:rPr>
        <w:t>,</w:t>
      </w:r>
      <w:r>
        <w:rPr>
          <w:rFonts w:eastAsia="宋体" w:hAnsi="Times New Roman" w:cs="宋体" w:hint="eastAsia"/>
          <w:sz w:val="24"/>
          <w:szCs w:val="24"/>
          <w:lang w:eastAsia="zh-CN"/>
        </w:rPr>
        <w:t>795</w:t>
      </w:r>
      <w:r>
        <w:rPr>
          <w:rFonts w:eastAsia="宋体" w:hAnsi="宋体" w:cs="宋体" w:hint="eastAsia"/>
          <w:sz w:val="24"/>
          <w:szCs w:val="24"/>
          <w:lang w:eastAsia="zh-CN"/>
        </w:rPr>
        <w:t>.</w:t>
      </w:r>
      <w:r>
        <w:rPr>
          <w:rFonts w:eastAsia="宋体" w:hAnsi="Times New Roman" w:cs="宋体" w:hint="eastAsia"/>
          <w:sz w:val="24"/>
          <w:szCs w:val="24"/>
          <w:lang w:eastAsia="zh-CN"/>
        </w:rPr>
        <w:t>99</w:t>
      </w:r>
      <w:r>
        <w:rPr>
          <w:rFonts w:ascii="宋体" w:eastAsia="宋体" w:hAnsi="宋体" w:cs="宋体" w:hint="eastAsia"/>
          <w:sz w:val="24"/>
          <w:szCs w:val="24"/>
          <w:lang w:eastAsia="zh-CN"/>
        </w:rPr>
        <w:t>万元，建设期为</w:t>
      </w:r>
      <w:r>
        <w:rPr>
          <w:rFonts w:eastAsia="宋体" w:hAnsi="Times New Roman" w:cs="宋体" w:hint="eastAsia"/>
          <w:sz w:val="24"/>
          <w:szCs w:val="24"/>
          <w:lang w:eastAsia="zh-CN"/>
        </w:rPr>
        <w:t>3</w:t>
      </w:r>
      <w:r>
        <w:rPr>
          <w:rFonts w:ascii="宋体" w:eastAsia="宋体" w:hAnsi="宋体" w:cs="宋体" w:hint="eastAsia"/>
          <w:sz w:val="24"/>
          <w:szCs w:val="24"/>
          <w:lang w:eastAsia="zh-CN"/>
        </w:rPr>
        <w:t>年，预计</w:t>
      </w:r>
      <w:r>
        <w:rPr>
          <w:rFonts w:eastAsia="宋体" w:hAnsi="Times New Roman" w:cs="宋体" w:hint="eastAsia"/>
          <w:sz w:val="24"/>
          <w:szCs w:val="24"/>
          <w:lang w:eastAsia="zh-CN"/>
        </w:rPr>
        <w:t>2020</w:t>
      </w:r>
      <w:r>
        <w:rPr>
          <w:rFonts w:ascii="宋体" w:eastAsia="宋体" w:hAnsi="宋体" w:cs="宋体" w:hint="eastAsia"/>
          <w:sz w:val="24"/>
          <w:szCs w:val="24"/>
          <w:lang w:eastAsia="zh-CN"/>
        </w:rPr>
        <w:t>年投入使用。项目建成后，将主要作为公司设计业务人员的办公和设计展示场所。公司旗下广田设计院由国际创意设计、建筑设计、工业设计、平面设计等板块组成。其中以建筑设计板块为例，将由建筑、室内装饰、幕墙、园林景观、机电、智能科技、陈设等不同专业总院组成。每个总院下由若干分院组成。</w:t>
      </w:r>
    </w:p>
    <w:p w:rsidR="00B87807" w:rsidRDefault="00AF01F2" w:rsidP="00F464BD">
      <w:pPr>
        <w:spacing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（二）项目的必要性和可行性</w:t>
      </w:r>
    </w:p>
    <w:p w:rsidR="00B87807" w:rsidRDefault="00AF01F2" w:rsidP="00F464BD">
      <w:pPr>
        <w:spacing w:afterLines="50" w:line="440" w:lineRule="exact"/>
        <w:ind w:firstLine="480"/>
        <w:rPr>
          <w:rFonts w:ascii="宋体" w:eastAsia="宋体" w:hAnsi="宋体" w:cs="宋体"/>
          <w:sz w:val="24"/>
          <w:szCs w:val="24"/>
          <w:lang w:eastAsia="zh-CN"/>
        </w:rPr>
      </w:pP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、项目的必要性</w:t>
      </w:r>
    </w:p>
    <w:p w:rsidR="00B87807" w:rsidRDefault="00AF01F2" w:rsidP="00F464BD">
      <w:pPr>
        <w:spacing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）提升设计实力是公司建设“大装饰”工程平台战略的客观要求</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公司积极打造“大装饰”工程产业平台，围绕建筑装饰行业业务链进行并购整合，目前业务涵盖了室内装饰、幕墙、智能、机电、园林、新材料等。</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w:t>
      </w: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月，公司通过增资并受让部分股权的形式控股了涉足“成品装潢”领域的荣欣装潢设计。</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w:t>
      </w:r>
      <w:r>
        <w:rPr>
          <w:rFonts w:ascii="Times New Roman" w:eastAsia="宋体" w:hAnsi="Times New Roman" w:cs="宋体" w:hint="eastAsia"/>
          <w:sz w:val="24"/>
          <w:szCs w:val="24"/>
          <w:lang w:eastAsia="zh-CN"/>
        </w:rPr>
        <w:t>11</w:t>
      </w:r>
      <w:r>
        <w:rPr>
          <w:rFonts w:ascii="宋体" w:eastAsia="宋体" w:hAnsi="宋体" w:cs="宋体" w:hint="eastAsia"/>
          <w:sz w:val="24"/>
          <w:szCs w:val="24"/>
          <w:lang w:eastAsia="zh-CN"/>
        </w:rPr>
        <w:t>月，公司收购了福建省双阳建筑工程有限公司，布局了建设工程施工业务领域。</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在每个施工项目中，设计是必不可缺的关键服务环节。近年来，广田设计院在公司装饰施工项目中，发挥了举足轻重的作用，设计业务在施工业务中所占的产值贡献逐年提升。</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公司增资控股荣欣装潢和收购福建双阳后，公司在建筑工程设计和室内外装饰设计的人才需求进一步加大，本次募投项目的顺利实施有利于公司增强设计业务人员的配置，提高公司设计业务的市场竞争力，进而增强公司“大装饰”工程平台的拿单能力，以提高公司整体的品牌知名度，是公司“大装饰”工程平台建设的客观要求，符合公司的发展战略。</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）公司设计人员办公和业务展示场所受限问题日益突出</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原计划在深圳市中心购置已建好的办公楼层用于公司设计中心、研发中心的建设，但是近年来受到国内房地产价格持续上涨，特别是深圳地区房地产价格大幅上涨的影响，公司尚未购置合适的办公楼。公司为了集中财力做强做大主业，首发上市后也没有新购或新建办公楼，而是使用自有资金租赁办公楼，并将其中部分楼层区域用于公司设计中心和研发中心办公使用。公司作为批量住宅精装修领域龙头企业，近年来，业务发展迅速，每年年产值达</w:t>
      </w:r>
      <w:r>
        <w:rPr>
          <w:rFonts w:ascii="Times New Roman" w:eastAsia="宋体" w:hAnsi="Times New Roman" w:cs="宋体" w:hint="eastAsia"/>
          <w:sz w:val="24"/>
          <w:szCs w:val="24"/>
          <w:lang w:eastAsia="zh-CN"/>
        </w:rPr>
        <w:t>50</w:t>
      </w:r>
      <w:r>
        <w:rPr>
          <w:rFonts w:ascii="宋体" w:eastAsia="宋体" w:hAnsi="宋体" w:cs="宋体" w:hint="eastAsia"/>
          <w:sz w:val="24"/>
          <w:szCs w:val="24"/>
          <w:lang w:eastAsia="zh-CN"/>
        </w:rPr>
        <w:t>亿元。随着行业并购和战略合作的推进，公司基于业务范畴及产业链的整合将不断完善，设计岗位人员需求将越来越大。公司目前拥有国内外设计专家学者</w:t>
      </w:r>
      <w:r>
        <w:rPr>
          <w:rFonts w:ascii="Times New Roman" w:eastAsia="宋体" w:hAnsi="Times New Roman" w:cs="宋体" w:hint="eastAsia"/>
          <w:sz w:val="24"/>
          <w:szCs w:val="24"/>
          <w:lang w:eastAsia="zh-CN"/>
        </w:rPr>
        <w:t>1500</w:t>
      </w:r>
      <w:r>
        <w:rPr>
          <w:rFonts w:ascii="宋体" w:eastAsia="宋体" w:hAnsi="宋体" w:cs="宋体" w:hint="eastAsia"/>
          <w:sz w:val="24"/>
          <w:szCs w:val="24"/>
          <w:lang w:eastAsia="zh-CN"/>
        </w:rPr>
        <w:t>余名，由国际创意设计中心、国内各设计领域专家、高级顾问团队、七个综合分院、四个专业分院以及灯光照明研究中心组成。公司旗下广田设计院经过</w:t>
      </w:r>
      <w:r>
        <w:rPr>
          <w:rFonts w:ascii="Times New Roman" w:eastAsia="宋体" w:hAnsi="Times New Roman" w:cs="宋体" w:hint="eastAsia"/>
          <w:sz w:val="24"/>
          <w:szCs w:val="24"/>
          <w:lang w:eastAsia="zh-CN"/>
        </w:rPr>
        <w:t>20</w:t>
      </w:r>
      <w:r>
        <w:rPr>
          <w:rFonts w:ascii="宋体" w:eastAsia="宋体" w:hAnsi="宋体" w:cs="宋体" w:hint="eastAsia"/>
          <w:sz w:val="24"/>
          <w:szCs w:val="24"/>
          <w:lang w:eastAsia="zh-CN"/>
        </w:rPr>
        <w:t>年的磨砺积淀，已发展为目前全国规模最大、最具行业号召力的综合型设计机构之一。根据中装新网发布的“中国建筑装饰设计机构五十强企业”，广田设计院已连续四年进入“中国建筑装饰设计机构五十强企业”前三名。目前，公司租赁的办公楼已经无法容纳新增设计人员入驻办公，公司设计业务的办公与展示场地受限问题日益突出，加之建筑设计行业对于办公场所和设计场地也有相关要求，本次项目实施的迫切性已经随着公司业务规模增长和人员增加而更加突显。</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本项目的顺利实施，有助于保证设计人员充足的个人办公空间和有较强设计</w:t>
      </w:r>
      <w:r>
        <w:rPr>
          <w:rFonts w:ascii="宋体" w:eastAsia="宋体" w:hAnsi="宋体" w:cs="宋体" w:hint="eastAsia"/>
          <w:sz w:val="24"/>
          <w:szCs w:val="24"/>
          <w:lang w:eastAsia="zh-CN"/>
        </w:rPr>
        <w:lastRenderedPageBreak/>
        <w:t>感的工作氛围，有助于设计人员的构思和创作，提升公司整体的设计实力和水平，提升公司设计业务在“大装饰”工程产值方面的贡献，从而进一步提升公司业务规模和盈利能力。</w:t>
      </w:r>
    </w:p>
    <w:p w:rsidR="00B87807" w:rsidRDefault="00AF01F2" w:rsidP="00F464BD">
      <w:pPr>
        <w:numPr>
          <w:ilvl w:val="0"/>
          <w:numId w:val="1"/>
        </w:num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项目的可行性</w:t>
      </w:r>
    </w:p>
    <w:p w:rsidR="00B87807" w:rsidRDefault="00AF01F2" w:rsidP="00F464BD">
      <w:pPr>
        <w:spacing w:afterLines="50" w:line="440" w:lineRule="exact"/>
        <w:ind w:left="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）公司大力发展设计业务契合项目所在地的城市发展定位</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作为改革开放的前沿城市，深圳是中国最早发展现代设计的城市，已经形成了实力雄厚的本土设计力量。</w:t>
      </w:r>
      <w:r>
        <w:rPr>
          <w:rFonts w:ascii="Times New Roman" w:eastAsia="宋体" w:hAnsi="Times New Roman" w:cs="宋体" w:hint="eastAsia"/>
          <w:sz w:val="24"/>
          <w:szCs w:val="24"/>
          <w:lang w:eastAsia="zh-CN"/>
        </w:rPr>
        <w:t>2008</w:t>
      </w:r>
      <w:r>
        <w:rPr>
          <w:rFonts w:ascii="宋体" w:eastAsia="宋体" w:hAnsi="宋体" w:cs="宋体" w:hint="eastAsia"/>
          <w:sz w:val="24"/>
          <w:szCs w:val="24"/>
          <w:lang w:eastAsia="zh-CN"/>
        </w:rPr>
        <w:t>年，深圳成为中国首个获得联合国教科文组织“设计之都”称号的城市，而在深圳门类众多的设计行业中，又以建筑装饰设计行业的成就最为突出。</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年度中国建筑装饰百强企业中，有一半以上的企业位于深圳。国内设计工程相关统计显示，有</w:t>
      </w:r>
      <w:r>
        <w:rPr>
          <w:rFonts w:ascii="Times New Roman" w:eastAsia="宋体" w:hAnsi="Times New Roman" w:cs="宋体" w:hint="eastAsia"/>
          <w:sz w:val="24"/>
          <w:szCs w:val="24"/>
          <w:lang w:eastAsia="zh-CN"/>
        </w:rPr>
        <w:t>70</w:t>
      </w:r>
      <w:r>
        <w:rPr>
          <w:rFonts w:ascii="宋体" w:eastAsia="宋体" w:hAnsi="宋体" w:cs="宋体" w:hint="eastAsia"/>
          <w:sz w:val="24"/>
          <w:szCs w:val="24"/>
          <w:lang w:eastAsia="zh-CN"/>
        </w:rPr>
        <w:t>%以上的建筑装饰设计都是出自深圳的设计师。广田集团从</w:t>
      </w:r>
      <w:r>
        <w:rPr>
          <w:rFonts w:ascii="宋体" w:eastAsia="宋体" w:hAnsi="宋体" w:cs="宋体"/>
          <w:sz w:val="24"/>
          <w:szCs w:val="24"/>
          <w:lang w:eastAsia="zh-CN"/>
        </w:rPr>
        <w:t>2010</w:t>
      </w:r>
      <w:r>
        <w:rPr>
          <w:rFonts w:ascii="宋体" w:eastAsia="宋体" w:hAnsi="宋体" w:cs="宋体" w:hint="eastAsia"/>
          <w:sz w:val="24"/>
          <w:szCs w:val="24"/>
          <w:lang w:eastAsia="zh-CN"/>
        </w:rPr>
        <w:t>年开始已经连续七年进入装饰行业前三名，</w:t>
      </w:r>
      <w:r>
        <w:rPr>
          <w:rFonts w:ascii="宋体" w:eastAsia="宋体" w:hAnsi="宋体" w:cs="宋体"/>
          <w:sz w:val="24"/>
          <w:szCs w:val="24"/>
          <w:lang w:eastAsia="zh-CN"/>
        </w:rPr>
        <w:t>2016</w:t>
      </w:r>
      <w:r>
        <w:rPr>
          <w:rFonts w:ascii="宋体" w:eastAsia="宋体" w:hAnsi="宋体" w:cs="宋体" w:hint="eastAsia"/>
          <w:sz w:val="24"/>
          <w:szCs w:val="24"/>
          <w:lang w:eastAsia="zh-CN"/>
        </w:rPr>
        <w:t>年营业收入规模超过</w:t>
      </w:r>
      <w:r>
        <w:rPr>
          <w:rFonts w:ascii="宋体" w:eastAsia="宋体" w:hAnsi="宋体" w:cs="宋体"/>
          <w:sz w:val="24"/>
          <w:szCs w:val="24"/>
          <w:lang w:eastAsia="zh-CN"/>
        </w:rPr>
        <w:t>100</w:t>
      </w:r>
      <w:r>
        <w:rPr>
          <w:rFonts w:ascii="宋体" w:eastAsia="宋体" w:hAnsi="宋体" w:cs="宋体" w:hint="eastAsia"/>
          <w:sz w:val="24"/>
          <w:szCs w:val="24"/>
          <w:lang w:eastAsia="zh-CN"/>
        </w:rPr>
        <w:t>亿元，排名行业第二名，深圳市广田建筑装饰设计研究院作为广田集团下属全资子公司更是享誉业内。本次募投项目的实施是公司发展战略的必然，也是契合深圳城市发展定位以提升公司品牌影响力的重要举措。</w:t>
      </w:r>
    </w:p>
    <w:p w:rsidR="00B87807" w:rsidRDefault="00AF01F2" w:rsidP="00F464BD">
      <w:pPr>
        <w:numPr>
          <w:ilvl w:val="0"/>
          <w:numId w:val="2"/>
        </w:num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公司拥有资质优势及稳定的战略客户基础</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公司及子公司拥有的壹级、甲级资质</w:t>
      </w:r>
      <w:r>
        <w:rPr>
          <w:rFonts w:ascii="Times New Roman" w:eastAsia="宋体" w:hAnsi="Times New Roman" w:cs="宋体" w:hint="eastAsia"/>
          <w:sz w:val="24"/>
          <w:szCs w:val="24"/>
          <w:lang w:eastAsia="zh-CN"/>
        </w:rPr>
        <w:t>10</w:t>
      </w:r>
      <w:r>
        <w:rPr>
          <w:rFonts w:ascii="宋体" w:eastAsia="宋体" w:hAnsi="宋体" w:cs="宋体" w:hint="eastAsia"/>
          <w:sz w:val="24"/>
          <w:szCs w:val="24"/>
          <w:lang w:eastAsia="zh-CN"/>
        </w:rPr>
        <w:t>多项。公司收购福建双阳后又新增建筑工程施工总承包壹级等五个壹级资质，是建筑装饰企业中高等级资质最完备的企业之一。</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中国恒大集团是公司的第一大客户，</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 xml:space="preserve">年度公司对其营业收入比重为 </w:t>
      </w:r>
      <w:r>
        <w:rPr>
          <w:rFonts w:ascii="Times New Roman" w:eastAsia="宋体" w:hAnsi="Times New Roman" w:cs="宋体" w:hint="eastAsia"/>
          <w:sz w:val="24"/>
          <w:szCs w:val="24"/>
          <w:lang w:eastAsia="zh-CN"/>
        </w:rPr>
        <w:t>43</w:t>
      </w: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88</w:t>
      </w:r>
      <w:r>
        <w:rPr>
          <w:rFonts w:ascii="宋体" w:eastAsia="宋体" w:hAnsi="宋体" w:cs="宋体" w:hint="eastAsia"/>
          <w:sz w:val="24"/>
          <w:szCs w:val="24"/>
          <w:lang w:eastAsia="zh-CN"/>
        </w:rPr>
        <w:t>%。中国恒大集团与公司在长期合作中形成了良好的沟通体系和默契的伙伴关系，使得中国恒大集团招标时同等条件下倾向优先与公司进行合作，从而使双方的业务具有一定的稳定性和持续性。此外，公司在继续加强与第一大客户中国恒大集团战略合作伙伴关系的基础上，重点开拓其他大型房地产商业务，有效推进“大客户”战略。</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度公司承接的工程项目逐步实现由“量”向“质”的转变，优质大工程项目比例有较明显的提升，特别是在承接的大型地标性公共装饰项目上取得了较大的突破，提升了公司品牌知名度，进一步优化了公司客户结构。</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公司高等级资质的完备优势及“大客户”战略的推进，为公司设计业务的发展壮大提供了发展机遇。同时，本项目的实施将有助于公司吸引设计行业顶尖人</w:t>
      </w:r>
      <w:r>
        <w:rPr>
          <w:rFonts w:ascii="宋体" w:eastAsia="宋体" w:hAnsi="宋体" w:cs="宋体" w:hint="eastAsia"/>
          <w:sz w:val="24"/>
          <w:szCs w:val="24"/>
          <w:lang w:eastAsia="zh-CN"/>
        </w:rPr>
        <w:lastRenderedPageBreak/>
        <w:t>才加入公司，有助于增强公司设计实力，帮助公司开拓建筑装饰业务机会，促进公司“大客户”战略的顺利推进，从而进一步增强公司核心竞争力。</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3</w:t>
      </w:r>
      <w:r>
        <w:rPr>
          <w:rFonts w:ascii="宋体" w:eastAsia="宋体" w:hAnsi="宋体" w:cs="宋体" w:hint="eastAsia"/>
          <w:sz w:val="24"/>
          <w:szCs w:val="24"/>
          <w:lang w:eastAsia="zh-CN"/>
        </w:rPr>
        <w:t>）公司已取得项目用地且具备项目的实施及管控能力</w:t>
      </w:r>
    </w:p>
    <w:p w:rsidR="00B87807" w:rsidRDefault="00AF01F2" w:rsidP="00F464BD">
      <w:pPr>
        <w:spacing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公司于</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w:t>
      </w:r>
      <w:r>
        <w:rPr>
          <w:rFonts w:ascii="Times New Roman" w:eastAsia="宋体" w:hAnsi="Times New Roman" w:cs="宋体" w:hint="eastAsia"/>
          <w:sz w:val="24"/>
          <w:szCs w:val="24"/>
          <w:lang w:eastAsia="zh-CN"/>
        </w:rPr>
        <w:t>12</w:t>
      </w:r>
      <w:r>
        <w:rPr>
          <w:rFonts w:ascii="宋体" w:eastAsia="宋体" w:hAnsi="宋体" w:cs="宋体" w:hint="eastAsia"/>
          <w:sz w:val="24"/>
          <w:szCs w:val="24"/>
          <w:lang w:eastAsia="zh-CN"/>
        </w:rPr>
        <w:t>月以自有资金竞得罗湖区红岭北路东侧，梨西一路北侧的一块工业用地（新型产业用地），土地面积</w:t>
      </w:r>
      <w:r>
        <w:rPr>
          <w:rFonts w:eastAsia="宋体" w:hAnsi="Times New Roman" w:cs="宋体" w:hint="eastAsia"/>
          <w:sz w:val="24"/>
          <w:szCs w:val="24"/>
          <w:lang w:eastAsia="zh-CN"/>
        </w:rPr>
        <w:t>4841</w:t>
      </w:r>
      <w:r>
        <w:rPr>
          <w:rFonts w:eastAsia="宋体" w:hAnsi="宋体" w:cs="宋体" w:hint="eastAsia"/>
          <w:sz w:val="24"/>
          <w:szCs w:val="24"/>
          <w:lang w:eastAsia="zh-CN"/>
        </w:rPr>
        <w:t>.</w:t>
      </w:r>
      <w:r>
        <w:rPr>
          <w:rFonts w:eastAsia="宋体" w:hAnsi="Times New Roman" w:cs="宋体" w:hint="eastAsia"/>
          <w:sz w:val="24"/>
          <w:szCs w:val="24"/>
          <w:lang w:eastAsia="zh-CN"/>
        </w:rPr>
        <w:t>06</w:t>
      </w:r>
      <w:r>
        <w:rPr>
          <w:rFonts w:ascii="宋体" w:eastAsia="宋体" w:hAnsi="宋体" w:cs="宋体" w:hint="eastAsia"/>
          <w:sz w:val="24"/>
          <w:szCs w:val="24"/>
          <w:lang w:eastAsia="zh-CN"/>
        </w:rPr>
        <w:t>平方米，土地使用年限为</w:t>
      </w:r>
      <w:r>
        <w:rPr>
          <w:rFonts w:ascii="Times New Roman" w:eastAsia="宋体" w:hAnsi="Times New Roman" w:cs="宋体" w:hint="eastAsia"/>
          <w:sz w:val="24"/>
          <w:szCs w:val="24"/>
          <w:lang w:eastAsia="zh-CN"/>
        </w:rPr>
        <w:t>30</w:t>
      </w:r>
      <w:r>
        <w:rPr>
          <w:rFonts w:ascii="宋体" w:eastAsia="宋体" w:hAnsi="宋体" w:cs="宋体" w:hint="eastAsia"/>
          <w:sz w:val="24"/>
          <w:szCs w:val="24"/>
          <w:lang w:eastAsia="zh-CN"/>
        </w:rPr>
        <w:t>年。公司作为华南地区主营建筑装饰的龙头企业，已经具备行业领先的项目实施和管控能力。为了本次项目的顺利实施，公司将成立由总裁为组长的项目领导小组，成员包括公司设计负责人、项目主管、相关部门负责人等，负责项目的内部协调、管理和对外联系，确保项目按照公司的实施计划和步骤有序进行。</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综上，通过本项目的实施，公司不断增加的设计人员的办公和业务展示用房将得到根本解决。同时，工作条件和氛围的改善也有助于公司招揽国内外优秀的设计人才，有助于提升公司的设计实力，为公司“大装饰”业务平台的跨越式发展奠定基础。  </w:t>
      </w:r>
    </w:p>
    <w:p w:rsidR="00B87807" w:rsidRDefault="00AF01F2" w:rsidP="00F464BD">
      <w:pPr>
        <w:spacing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（三）项目投资规模</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本项目预计总投资为</w:t>
      </w:r>
      <w:r>
        <w:rPr>
          <w:rFonts w:eastAsia="宋体" w:hAnsi="Times New Roman" w:cs="宋体" w:hint="eastAsia"/>
          <w:sz w:val="24"/>
          <w:szCs w:val="24"/>
          <w:lang w:eastAsia="zh-CN"/>
        </w:rPr>
        <w:t>80</w:t>
      </w:r>
      <w:r>
        <w:rPr>
          <w:rFonts w:eastAsia="宋体" w:hAnsi="宋体" w:cs="宋体" w:hint="eastAsia"/>
          <w:sz w:val="24"/>
          <w:szCs w:val="24"/>
          <w:lang w:eastAsia="zh-CN"/>
        </w:rPr>
        <w:t>,</w:t>
      </w:r>
      <w:r>
        <w:rPr>
          <w:rFonts w:eastAsia="宋体" w:hAnsi="Times New Roman" w:cs="宋体" w:hint="eastAsia"/>
          <w:sz w:val="24"/>
          <w:szCs w:val="24"/>
          <w:lang w:eastAsia="zh-CN"/>
        </w:rPr>
        <w:t>795</w:t>
      </w:r>
      <w:r>
        <w:rPr>
          <w:rFonts w:eastAsia="宋体" w:hAnsi="宋体" w:cs="宋体" w:hint="eastAsia"/>
          <w:sz w:val="24"/>
          <w:szCs w:val="24"/>
          <w:lang w:eastAsia="zh-CN"/>
        </w:rPr>
        <w:t>.</w:t>
      </w:r>
      <w:r>
        <w:rPr>
          <w:rFonts w:eastAsia="宋体" w:hAnsi="Times New Roman" w:cs="宋体" w:hint="eastAsia"/>
          <w:sz w:val="24"/>
          <w:szCs w:val="24"/>
          <w:lang w:eastAsia="zh-CN"/>
        </w:rPr>
        <w:t>99</w:t>
      </w:r>
      <w:r>
        <w:rPr>
          <w:rFonts w:ascii="宋体" w:eastAsia="宋体" w:hAnsi="宋体" w:cs="宋体" w:hint="eastAsia"/>
          <w:sz w:val="24"/>
          <w:szCs w:val="24"/>
          <w:lang w:eastAsia="zh-CN"/>
        </w:rPr>
        <w:t>万元，其中建设投资</w:t>
      </w:r>
      <w:r>
        <w:rPr>
          <w:rFonts w:eastAsia="宋体" w:hAnsi="Times New Roman" w:cs="宋体" w:hint="eastAsia"/>
          <w:sz w:val="24"/>
          <w:szCs w:val="24"/>
          <w:lang w:eastAsia="zh-CN"/>
        </w:rPr>
        <w:t>77</w:t>
      </w:r>
      <w:r>
        <w:rPr>
          <w:rFonts w:eastAsia="宋体" w:hAnsi="宋体" w:cs="宋体" w:hint="eastAsia"/>
          <w:sz w:val="24"/>
          <w:szCs w:val="24"/>
          <w:lang w:eastAsia="zh-CN"/>
        </w:rPr>
        <w:t>,</w:t>
      </w:r>
      <w:r>
        <w:rPr>
          <w:rFonts w:eastAsia="宋体" w:hAnsi="Times New Roman" w:cs="宋体" w:hint="eastAsia"/>
          <w:sz w:val="24"/>
          <w:szCs w:val="24"/>
          <w:lang w:eastAsia="zh-CN"/>
        </w:rPr>
        <w:t>795</w:t>
      </w:r>
      <w:r>
        <w:rPr>
          <w:rFonts w:eastAsia="宋体" w:hAnsi="宋体" w:cs="宋体" w:hint="eastAsia"/>
          <w:sz w:val="24"/>
          <w:szCs w:val="24"/>
          <w:lang w:eastAsia="zh-CN"/>
        </w:rPr>
        <w:t>.</w:t>
      </w:r>
      <w:r>
        <w:rPr>
          <w:rFonts w:eastAsia="宋体" w:hAnsi="Times New Roman" w:cs="宋体" w:hint="eastAsia"/>
          <w:sz w:val="24"/>
          <w:szCs w:val="24"/>
          <w:lang w:eastAsia="zh-CN"/>
        </w:rPr>
        <w:t>99</w:t>
      </w:r>
      <w:r>
        <w:rPr>
          <w:rFonts w:ascii="宋体" w:eastAsia="宋体" w:hAnsi="宋体" w:cs="宋体" w:hint="eastAsia"/>
          <w:sz w:val="24"/>
          <w:szCs w:val="24"/>
          <w:lang w:eastAsia="zh-CN"/>
        </w:rPr>
        <w:t>万元，铺底流动资金</w:t>
      </w:r>
      <w:r>
        <w:rPr>
          <w:rFonts w:eastAsia="宋体" w:hAnsi="Times New Roman" w:cs="宋体" w:hint="eastAsia"/>
          <w:sz w:val="24"/>
          <w:szCs w:val="24"/>
          <w:lang w:eastAsia="zh-CN"/>
        </w:rPr>
        <w:t>3</w:t>
      </w:r>
      <w:r>
        <w:rPr>
          <w:rFonts w:eastAsia="宋体" w:hAnsi="宋体" w:cs="宋体" w:hint="eastAsia"/>
          <w:sz w:val="24"/>
          <w:szCs w:val="24"/>
          <w:lang w:eastAsia="zh-CN"/>
        </w:rPr>
        <w:t>,</w:t>
      </w:r>
      <w:r>
        <w:rPr>
          <w:rFonts w:eastAsia="宋体" w:hAnsi="Times New Roman" w:cs="宋体" w:hint="eastAsia"/>
          <w:sz w:val="24"/>
          <w:szCs w:val="24"/>
          <w:lang w:eastAsia="zh-CN"/>
        </w:rPr>
        <w:t>000</w:t>
      </w:r>
      <w:r>
        <w:rPr>
          <w:rFonts w:eastAsia="宋体" w:hAnsi="宋体" w:cs="宋体" w:hint="eastAsia"/>
          <w:sz w:val="24"/>
          <w:szCs w:val="24"/>
          <w:lang w:eastAsia="zh-CN"/>
        </w:rPr>
        <w:t>.</w:t>
      </w:r>
      <w:r>
        <w:rPr>
          <w:rFonts w:eastAsia="宋体" w:hAnsi="Times New Roman" w:cs="宋体" w:hint="eastAsia"/>
          <w:sz w:val="24"/>
          <w:szCs w:val="24"/>
          <w:lang w:eastAsia="zh-CN"/>
        </w:rPr>
        <w:t>00</w:t>
      </w:r>
      <w:r>
        <w:rPr>
          <w:rFonts w:ascii="宋体" w:eastAsia="宋体" w:hAnsi="宋体" w:cs="宋体" w:hint="eastAsia"/>
          <w:sz w:val="24"/>
          <w:szCs w:val="24"/>
          <w:lang w:eastAsia="zh-CN"/>
        </w:rPr>
        <w:t xml:space="preserve">万元。 </w:t>
      </w:r>
    </w:p>
    <w:p w:rsidR="00B87807" w:rsidRDefault="00AF01F2" w:rsidP="00F464BD">
      <w:pPr>
        <w:spacing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（四）项目实施主体</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本项目实施主体为深圳广田集团股份有限公司。</w:t>
      </w:r>
    </w:p>
    <w:p w:rsidR="00B87807" w:rsidRDefault="00AF01F2" w:rsidP="00F464BD">
      <w:pPr>
        <w:spacing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（五）项目选址</w:t>
      </w:r>
    </w:p>
    <w:p w:rsidR="00B87807" w:rsidRDefault="00AF01F2" w:rsidP="00F464BD">
      <w:pPr>
        <w:spacing w:beforeLines="50" w:afterLines="50" w:line="440" w:lineRule="exact"/>
        <w:ind w:left="480"/>
        <w:rPr>
          <w:rFonts w:ascii="宋体" w:eastAsia="宋体" w:hAnsi="宋体" w:cs="宋体"/>
          <w:sz w:val="24"/>
          <w:szCs w:val="24"/>
          <w:lang w:eastAsia="zh-CN"/>
        </w:rPr>
      </w:pPr>
      <w:r>
        <w:rPr>
          <w:rFonts w:ascii="宋体" w:eastAsia="宋体" w:hAnsi="宋体" w:cs="宋体" w:hint="eastAsia"/>
          <w:sz w:val="24"/>
          <w:szCs w:val="24"/>
          <w:lang w:eastAsia="zh-CN"/>
        </w:rPr>
        <w:t xml:space="preserve">项目位于深圳市罗湖区红岭北路东侧，梨西一路北侧。 </w:t>
      </w:r>
    </w:p>
    <w:p w:rsidR="00B87807" w:rsidRDefault="00AF01F2" w:rsidP="00F464BD">
      <w:pPr>
        <w:spacing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 xml:space="preserve">（六）项目实施进度 </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本项目建设期为</w:t>
      </w:r>
      <w:r>
        <w:rPr>
          <w:rFonts w:ascii="Times New Roman" w:eastAsia="宋体" w:hAnsi="Times New Roman" w:cs="宋体" w:hint="eastAsia"/>
          <w:sz w:val="24"/>
          <w:szCs w:val="24"/>
          <w:lang w:eastAsia="zh-CN"/>
        </w:rPr>
        <w:t>36</w:t>
      </w:r>
      <w:r>
        <w:rPr>
          <w:rFonts w:ascii="宋体" w:eastAsia="宋体" w:hAnsi="宋体" w:cs="宋体" w:hint="eastAsia"/>
          <w:sz w:val="24"/>
          <w:szCs w:val="24"/>
          <w:lang w:eastAsia="zh-CN"/>
        </w:rPr>
        <w:t>个月。</w:t>
      </w:r>
    </w:p>
    <w:p w:rsidR="00B87807" w:rsidRDefault="00AF01F2" w:rsidP="00F464BD">
      <w:pPr>
        <w:spacing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（七）项目效益分析</w:t>
      </w:r>
    </w:p>
    <w:p w:rsidR="00B87807" w:rsidRDefault="00AF01F2">
      <w:pPr>
        <w:spacing w:after="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本项目属于基础设施建设项目，虽不能直接产生效益，但本项目在</w:t>
      </w:r>
      <w:r>
        <w:rPr>
          <w:rFonts w:ascii="Times New Roman" w:eastAsia="宋体" w:hAnsi="Times New Roman" w:cs="宋体" w:hint="eastAsia"/>
          <w:sz w:val="24"/>
          <w:szCs w:val="24"/>
          <w:lang w:eastAsia="zh-CN"/>
        </w:rPr>
        <w:t>2020</w:t>
      </w:r>
      <w:r>
        <w:rPr>
          <w:rFonts w:ascii="宋体" w:eastAsia="宋体" w:hAnsi="宋体" w:cs="宋体" w:hint="eastAsia"/>
          <w:sz w:val="24"/>
          <w:szCs w:val="24"/>
          <w:lang w:eastAsia="zh-CN"/>
        </w:rPr>
        <w:t>年建成后，将作为公司的设计业务基地，不仅有助于公司在建筑装饰行业快速发展的大环境里保持设计业务领先优势，促进公司加快市场开拓，从而为公司创造收入，夯实公司“大装饰”平台的综合竞争力；从社会效益来看，广田设计中心建</w:t>
      </w:r>
      <w:r>
        <w:rPr>
          <w:rFonts w:ascii="宋体" w:eastAsia="宋体" w:hAnsi="宋体" w:cs="宋体" w:hint="eastAsia"/>
          <w:sz w:val="24"/>
          <w:szCs w:val="24"/>
          <w:lang w:eastAsia="zh-CN"/>
        </w:rPr>
        <w:lastRenderedPageBreak/>
        <w:t>成后，亦会吸引更多的优秀设计人才和建筑装饰技术人才到深圳罗湖区居住和工作，对罗湖区的人才结构调整、经济发展等亦会起到一定的促进作用。</w:t>
      </w:r>
    </w:p>
    <w:p w:rsidR="00B87807" w:rsidRDefault="00AF01F2" w:rsidP="00F464BD">
      <w:pPr>
        <w:spacing w:beforeLines="50"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 xml:space="preserve">（八）项目备案和环保方面 </w:t>
      </w:r>
    </w:p>
    <w:p w:rsidR="00B87807" w:rsidRDefault="00AF01F2">
      <w:pPr>
        <w:spacing w:after="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截至本预案公告之日，本项目的可行性研究报告已编制完毕，本项目已经完成发改部门备案手续，备案编号：深罗湖发改备案（2017）0060号，本项目涉及的环评工作正在进行中。</w:t>
      </w:r>
    </w:p>
    <w:p w:rsidR="00B87807" w:rsidRDefault="00AF01F2" w:rsidP="00F464BD">
      <w:pPr>
        <w:spacing w:beforeLines="50" w:afterLines="50" w:line="440" w:lineRule="exact"/>
        <w:ind w:firstLine="573"/>
        <w:outlineLvl w:val="0"/>
        <w:rPr>
          <w:rFonts w:ascii="宋体" w:eastAsia="宋体" w:hAnsi="宋体" w:cs="宋体"/>
          <w:sz w:val="28"/>
          <w:szCs w:val="28"/>
          <w:lang w:eastAsia="zh-CN"/>
        </w:rPr>
      </w:pPr>
      <w:r>
        <w:rPr>
          <w:rFonts w:ascii="宋体" w:eastAsia="宋体" w:hAnsi="宋体" w:cs="宋体" w:hint="eastAsia"/>
          <w:sz w:val="28"/>
          <w:szCs w:val="28"/>
          <w:lang w:eastAsia="zh-CN"/>
        </w:rPr>
        <w:t>三、信息化建设项目</w:t>
      </w:r>
    </w:p>
    <w:p w:rsidR="00B87807" w:rsidRDefault="00AF01F2" w:rsidP="00F464BD">
      <w:pPr>
        <w:spacing w:beforeLines="50"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（一）项目概况</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公司拟在现有</w:t>
      </w:r>
      <w:r>
        <w:rPr>
          <w:rFonts w:ascii="Times New Roman" w:eastAsia="宋体" w:hAnsi="Times New Roman" w:cs="宋体" w:hint="eastAsia"/>
          <w:sz w:val="24"/>
          <w:szCs w:val="24"/>
          <w:lang w:eastAsia="zh-CN"/>
        </w:rPr>
        <w:t>OA</w:t>
      </w:r>
      <w:r>
        <w:rPr>
          <w:rFonts w:ascii="宋体" w:eastAsia="宋体" w:hAnsi="宋体" w:cs="宋体" w:hint="eastAsia"/>
          <w:sz w:val="24"/>
          <w:szCs w:val="24"/>
          <w:lang w:eastAsia="zh-CN"/>
        </w:rPr>
        <w:t>、财务管理等信息系统基础上强化信息化系统建设，建设内容主要包括通用基础性系统（数据中心、管理支持系统和移动应用管理平台）和业务板块子系统（设计协同平台、财务共享云平台、工程管理系统、供应链管理系统和人力资源管理系统），各业务板块子系统又将具体细分为内装、幕墙、园林、建筑等子系统，通过加强信息化建设，促进公司内部管理与业务管理的协同，提升公司的内部管理水平，提高公司各业务板块协作能力，从而提高公司的综合竞争力。</w:t>
      </w:r>
    </w:p>
    <w:p w:rsidR="00B87807" w:rsidRDefault="00AF01F2" w:rsidP="00F464BD">
      <w:pPr>
        <w:spacing w:beforeLines="50"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（二）项目的必要性和可行性</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、项目的必要性</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）加强信息化建设是行业管理趋势和公司业务发展的需要</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信息化技术的发展为企业提升经营管理水平带来了契机，国内建筑装饰企业实施信息化建设后均取得了较好的效果。面对市场的竞争压力，公司迫切需要强化信息化系统，以增强公司综合管理能力。另外，公司业务规模的扩张也从战略层面对信息管理系统提出了更高的要求，公司需要开发引进集“技术知识、业务运行、网络维护”等功能于一体的信息系统来提高公司的经营管理效率，支持公司的进一步快速发展。</w:t>
      </w:r>
    </w:p>
    <w:p w:rsidR="00B87807" w:rsidRDefault="00B127F4"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fldChar w:fldCharType="begin"/>
      </w:r>
      <w:r w:rsidR="00AF01F2">
        <w:rPr>
          <w:rFonts w:ascii="宋体" w:eastAsia="宋体" w:hAnsi="宋体" w:cs="宋体" w:hint="eastAsia"/>
          <w:sz w:val="24"/>
          <w:szCs w:val="24"/>
          <w:lang w:eastAsia="zh-CN"/>
        </w:rPr>
        <w:instrText xml:space="preserve"> = 1 \* GB3 \* MERGEFORMAT </w:instrText>
      </w:r>
      <w:r>
        <w:rPr>
          <w:rFonts w:ascii="宋体" w:eastAsia="宋体" w:hAnsi="宋体" w:cs="宋体" w:hint="eastAsia"/>
          <w:sz w:val="24"/>
          <w:szCs w:val="24"/>
          <w:lang w:eastAsia="zh-CN"/>
        </w:rPr>
        <w:fldChar w:fldCharType="separate"/>
      </w:r>
      <w:r w:rsidR="00AF01F2">
        <w:rPr>
          <w:rFonts w:ascii="宋体" w:eastAsia="宋体" w:hAnsi="宋体" w:cs="宋体" w:hint="eastAsia"/>
          <w:lang w:eastAsia="zh-CN"/>
        </w:rPr>
        <w:t>①</w:t>
      </w:r>
      <w:r>
        <w:rPr>
          <w:rFonts w:ascii="宋体" w:eastAsia="宋体" w:hAnsi="宋体" w:cs="宋体" w:hint="eastAsia"/>
          <w:sz w:val="24"/>
          <w:szCs w:val="24"/>
          <w:lang w:eastAsia="zh-CN"/>
        </w:rPr>
        <w:fldChar w:fldCharType="end"/>
      </w:r>
      <w:r w:rsidR="00AF01F2">
        <w:rPr>
          <w:rFonts w:ascii="宋体" w:eastAsia="宋体" w:hAnsi="宋体" w:cs="宋体" w:hint="eastAsia"/>
          <w:sz w:val="24"/>
          <w:szCs w:val="24"/>
          <w:lang w:eastAsia="zh-CN"/>
        </w:rPr>
        <w:t>随着公司人员规模的快速扩大，公司内部培训在业务知识、技术、经验的共享上需要更强大、完整的信息系统支持；</w:t>
      </w:r>
    </w:p>
    <w:p w:rsidR="00B87807" w:rsidRDefault="00B127F4"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fldChar w:fldCharType="begin"/>
      </w:r>
      <w:r w:rsidR="00AF01F2">
        <w:rPr>
          <w:rFonts w:ascii="宋体" w:eastAsia="宋体" w:hAnsi="宋体" w:cs="宋体" w:hint="eastAsia"/>
          <w:sz w:val="24"/>
          <w:szCs w:val="24"/>
          <w:lang w:eastAsia="zh-CN"/>
        </w:rPr>
        <w:instrText xml:space="preserve"> = 2 \* GB3 \* MERGEFORMAT </w:instrText>
      </w:r>
      <w:r>
        <w:rPr>
          <w:rFonts w:ascii="宋体" w:eastAsia="宋体" w:hAnsi="宋体" w:cs="宋体" w:hint="eastAsia"/>
          <w:sz w:val="24"/>
          <w:szCs w:val="24"/>
          <w:lang w:eastAsia="zh-CN"/>
        </w:rPr>
        <w:fldChar w:fldCharType="separate"/>
      </w:r>
      <w:r w:rsidR="00AF01F2">
        <w:rPr>
          <w:rFonts w:ascii="宋体" w:eastAsia="宋体" w:hAnsi="宋体" w:cs="宋体" w:hint="eastAsia"/>
          <w:lang w:eastAsia="zh-CN"/>
        </w:rPr>
        <w:t>②</w:t>
      </w:r>
      <w:r>
        <w:rPr>
          <w:rFonts w:ascii="宋体" w:eastAsia="宋体" w:hAnsi="宋体" w:cs="宋体" w:hint="eastAsia"/>
          <w:sz w:val="24"/>
          <w:szCs w:val="24"/>
          <w:lang w:eastAsia="zh-CN"/>
        </w:rPr>
        <w:fldChar w:fldCharType="end"/>
      </w:r>
      <w:r w:rsidR="00AF01F2">
        <w:rPr>
          <w:rFonts w:ascii="宋体" w:eastAsia="宋体" w:hAnsi="宋体" w:cs="宋体" w:hint="eastAsia"/>
          <w:sz w:val="24"/>
          <w:szCs w:val="24"/>
          <w:lang w:eastAsia="zh-CN"/>
        </w:rPr>
        <w:t>随着公司服务区域不断扩大，对公司物流、资金流提出了更高的要求，需</w:t>
      </w:r>
      <w:r w:rsidR="00AF01F2">
        <w:rPr>
          <w:rFonts w:ascii="宋体" w:eastAsia="宋体" w:hAnsi="宋体" w:cs="宋体" w:hint="eastAsia"/>
          <w:sz w:val="24"/>
          <w:szCs w:val="24"/>
          <w:lang w:eastAsia="zh-CN"/>
        </w:rPr>
        <w:lastRenderedPageBreak/>
        <w:t>要公司建立强大的信息网络。同时，随着设计行业的进一步发展，需要不同部门、不同地区的设计师在同一平台下综合考虑成本、造型、绿色、建设时间等因素对同一项目做出设计，这也对信息网络提出了要求。</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总之，公司业务规模的发展需要将信息化系统建设提升到一个新的高度，使公司整体能够在一个高水平的信息平台上运作。信息化建设项目是与公司现有的规模、业务相适应，是公司进一步发展的需要。</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）加强信息化建设是公司人才培养体系的需要</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建筑装饰设计施工是一个综合性学科，是科学与艺术相结合的产物，对建筑装饰设计施工人员的要求很高。一方面要求设计人员具备较强的专业知识，另一方面要求设计人员具有一定的艺术修养，人才的吸收和培养对建筑装饰公司就显得尤为重要。目前公司有各类专业设计和管理人才</w:t>
      </w:r>
      <w:r>
        <w:rPr>
          <w:rFonts w:ascii="Times New Roman" w:eastAsia="宋体" w:hAnsi="Times New Roman" w:cs="宋体" w:hint="eastAsia"/>
          <w:sz w:val="24"/>
          <w:szCs w:val="24"/>
          <w:lang w:eastAsia="zh-CN"/>
        </w:rPr>
        <w:t>4000</w:t>
      </w:r>
      <w:r>
        <w:rPr>
          <w:rFonts w:ascii="宋体" w:eastAsia="宋体" w:hAnsi="宋体" w:cs="宋体" w:hint="eastAsia"/>
          <w:sz w:val="24"/>
          <w:szCs w:val="24"/>
          <w:lang w:eastAsia="zh-CN"/>
        </w:rPr>
        <w:t>余人，人员数量规模较大，迫切需要一套完整的信息系统来支持公司在业务知识、技术经验等方面的共享。本项目建成后，将能够进一步完善公司人才培养体系，加快知识、技能、经验在公司内传播的速度，从而提高公司整体技术管理水平，为公司的长期发展奠定基础。</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3</w:t>
      </w:r>
      <w:r>
        <w:rPr>
          <w:rFonts w:ascii="宋体" w:eastAsia="宋体" w:hAnsi="宋体" w:cs="宋体" w:hint="eastAsia"/>
          <w:sz w:val="24"/>
          <w:szCs w:val="24"/>
          <w:lang w:eastAsia="zh-CN"/>
        </w:rPr>
        <w:t>）加强信息化建设有助于增强公司协同设计能力</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目前，公司业务已经遍布全国各地。在协同设计模式下，分子公司作为直接面对当地市场的窗口，可以充分利用当地信息、资源和公司品牌承揽业务。总部则可以运用信息技术，通过远程系统实现协同设计，帮助分子公司完成项目设计，充分利用现有的人力资源，提高了设计水平，增强了大客户粘性。而这种经营模式对信息系统要求较高，本项目实施后将能提供高性能的计算机软硬件作为研究与分析基础，提供通讯软件、视频会议等加强设计师的沟通效率和设计成果的展示互动，有助于进一步发挥公司的设计优势。因此，加强信息化建设有助于公司增强协同设计能力，充分发挥公司人力资源优势。</w:t>
      </w:r>
    </w:p>
    <w:p w:rsidR="00B87807" w:rsidRDefault="00AF01F2" w:rsidP="00F464BD">
      <w:pPr>
        <w:numPr>
          <w:ilvl w:val="0"/>
          <w:numId w:val="3"/>
        </w:num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项目的可行性</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）我国信息服务体系完善、技术成熟，项目实施在技术上可行</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随着我国信息行业的发展，大量的以信息咨询服务为主的服务机构涌现出来，这些机构在不同区域、不同专业领域为各种企业提供信息技术咨询服务，开发出</w:t>
      </w:r>
      <w:r>
        <w:rPr>
          <w:rFonts w:ascii="宋体" w:eastAsia="宋体" w:hAnsi="宋体" w:cs="宋体" w:hint="eastAsia"/>
          <w:sz w:val="24"/>
          <w:szCs w:val="24"/>
          <w:lang w:eastAsia="zh-CN"/>
        </w:rPr>
        <w:lastRenderedPageBreak/>
        <w:t>各种“深入、专业、适应企业发展需求”的信息技术服务平台，相应信息应用软件的技术也不断成熟。信息服务行业的发展成熟为企业建设信息化管理体系提供了完善的技术支持。</w:t>
      </w:r>
    </w:p>
    <w:p w:rsidR="00B87807" w:rsidRDefault="00AF01F2" w:rsidP="00F464BD">
      <w:pPr>
        <w:spacing w:beforeLines="50" w:afterLines="50"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）公司拥有良好的信息化管理基础和丰富的信息化管理经验</w:t>
      </w:r>
    </w:p>
    <w:p w:rsidR="00B87807" w:rsidRDefault="00AF01F2" w:rsidP="00F464BD">
      <w:pPr>
        <w:spacing w:beforeLines="50" w:afterLines="50" w:line="440" w:lineRule="exact"/>
        <w:ind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公司已经拥有了较为专业的信息技术人才及软件，建立了办公自动化以及财务管理等信息管理系统，积累了一定的信息化管理经验，为公司形成更加有效的知识管理体系和综合管理信息系统奠定了良好的基础。</w:t>
      </w:r>
    </w:p>
    <w:p w:rsidR="00B87807" w:rsidRDefault="00AF01F2" w:rsidP="00F464BD">
      <w:pPr>
        <w:spacing w:beforeLines="50" w:afterLines="50" w:line="440" w:lineRule="exact"/>
        <w:ind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3</w:t>
      </w:r>
      <w:r>
        <w:rPr>
          <w:rFonts w:ascii="宋体" w:eastAsia="宋体" w:hAnsi="宋体" w:cs="宋体" w:hint="eastAsia"/>
          <w:sz w:val="24"/>
          <w:szCs w:val="24"/>
          <w:lang w:eastAsia="zh-CN"/>
        </w:rPr>
        <w:t>）公司高度重视信息化系统建设工作</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目前，公司的很多经营管理方式都采用或借鉴了国内外先进企业的成功经验，先进的信息化系统也是公司管理层着重打造的项目。为了加强公司信息化系统建设，公司专门成立了项目领导小组负责该项目的统筹工作。项目小组成员涵盖了公司各业务部门的主要骨干精英，公司全体上下将积极配合，为信息化系统建设项目的实施创造有利条件。公司高度重视有利于克服信息化系统建设过程中面临的各种潜在困难，以确保项目成功实施。</w:t>
      </w:r>
    </w:p>
    <w:p w:rsidR="00B87807" w:rsidRDefault="00AF01F2" w:rsidP="00F464BD">
      <w:pPr>
        <w:spacing w:beforeLines="50"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（三）项目投资规模</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本项目预计总投资为</w:t>
      </w:r>
      <w:r>
        <w:rPr>
          <w:rFonts w:eastAsia="宋体" w:hAnsi="Times New Roman" w:cs="宋体" w:hint="eastAsia"/>
          <w:sz w:val="24"/>
          <w:szCs w:val="24"/>
          <w:lang w:eastAsia="zh-CN"/>
        </w:rPr>
        <w:t>10</w:t>
      </w:r>
      <w:r>
        <w:rPr>
          <w:rFonts w:eastAsia="宋体" w:hAnsi="宋体" w:cs="宋体" w:hint="eastAsia"/>
          <w:sz w:val="24"/>
          <w:szCs w:val="24"/>
          <w:lang w:eastAsia="zh-CN"/>
        </w:rPr>
        <w:t>,</w:t>
      </w:r>
      <w:r>
        <w:rPr>
          <w:rFonts w:eastAsia="宋体" w:hAnsi="Times New Roman" w:cs="宋体" w:hint="eastAsia"/>
          <w:sz w:val="24"/>
          <w:szCs w:val="24"/>
          <w:lang w:eastAsia="zh-CN"/>
        </w:rPr>
        <w:t>900</w:t>
      </w:r>
      <w:r>
        <w:rPr>
          <w:rFonts w:eastAsia="宋体" w:hAnsi="宋体" w:cs="宋体" w:hint="eastAsia"/>
          <w:sz w:val="24"/>
          <w:szCs w:val="24"/>
          <w:lang w:eastAsia="zh-CN"/>
        </w:rPr>
        <w:t>.</w:t>
      </w:r>
      <w:r>
        <w:rPr>
          <w:rFonts w:eastAsia="宋体" w:hAnsi="Times New Roman" w:cs="宋体" w:hint="eastAsia"/>
          <w:sz w:val="24"/>
          <w:szCs w:val="24"/>
          <w:lang w:eastAsia="zh-CN"/>
        </w:rPr>
        <w:t>63</w:t>
      </w:r>
      <w:r>
        <w:rPr>
          <w:rFonts w:ascii="宋体" w:eastAsia="宋体" w:hAnsi="宋体" w:cs="宋体" w:hint="eastAsia"/>
          <w:sz w:val="24"/>
          <w:szCs w:val="24"/>
          <w:lang w:eastAsia="zh-CN"/>
        </w:rPr>
        <w:t xml:space="preserve">万元，主要用于机房改造、信息系统的软硬件购置等。 </w:t>
      </w:r>
    </w:p>
    <w:p w:rsidR="00B87807" w:rsidRDefault="00AF01F2" w:rsidP="00F464BD">
      <w:pPr>
        <w:spacing w:beforeLines="50" w:afterLines="50" w:line="440" w:lineRule="exact"/>
        <w:ind w:firstLine="573"/>
        <w:outlineLvl w:val="1"/>
        <w:rPr>
          <w:rFonts w:ascii="宋体" w:eastAsia="宋体" w:hAnsi="宋体" w:cs="宋体"/>
          <w:sz w:val="24"/>
          <w:szCs w:val="24"/>
          <w:lang w:eastAsia="zh-CN"/>
        </w:rPr>
      </w:pPr>
      <w:r>
        <w:rPr>
          <w:rFonts w:ascii="宋体" w:eastAsia="宋体" w:hAnsi="宋体" w:cs="宋体" w:hint="eastAsia"/>
          <w:sz w:val="24"/>
          <w:szCs w:val="24"/>
          <w:lang w:eastAsia="zh-CN"/>
        </w:rPr>
        <w:t>（四）项目实施主体</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本项目实施主体为深圳广田集团股份有限公司。</w:t>
      </w:r>
    </w:p>
    <w:p w:rsidR="00B87807" w:rsidRDefault="00AF01F2" w:rsidP="00F464BD">
      <w:pPr>
        <w:spacing w:beforeLines="50" w:afterLines="50" w:line="440" w:lineRule="exact"/>
        <w:ind w:firstLineChars="250" w:firstLine="600"/>
        <w:outlineLvl w:val="1"/>
        <w:rPr>
          <w:rFonts w:ascii="宋体" w:eastAsia="宋体" w:hAnsi="宋体" w:cs="宋体"/>
          <w:sz w:val="24"/>
          <w:szCs w:val="24"/>
          <w:lang w:eastAsia="zh-CN"/>
        </w:rPr>
      </w:pPr>
      <w:r>
        <w:rPr>
          <w:rFonts w:ascii="宋体" w:eastAsia="宋体" w:hAnsi="宋体" w:cs="宋体" w:hint="eastAsia"/>
          <w:sz w:val="24"/>
          <w:szCs w:val="24"/>
          <w:lang w:eastAsia="zh-CN"/>
        </w:rPr>
        <w:t xml:space="preserve">（五）项目实施进度 </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本项目建设期为</w:t>
      </w:r>
      <w:r>
        <w:rPr>
          <w:rFonts w:ascii="Times New Roman" w:eastAsia="宋体" w:hAnsi="Times New Roman" w:cs="宋体" w:hint="eastAsia"/>
          <w:sz w:val="24"/>
          <w:szCs w:val="24"/>
          <w:lang w:eastAsia="zh-CN"/>
        </w:rPr>
        <w:t>36</w:t>
      </w:r>
      <w:r>
        <w:rPr>
          <w:rFonts w:ascii="宋体" w:eastAsia="宋体" w:hAnsi="宋体" w:cs="宋体" w:hint="eastAsia"/>
          <w:sz w:val="24"/>
          <w:szCs w:val="24"/>
          <w:lang w:eastAsia="zh-CN"/>
        </w:rPr>
        <w:t>个月。</w:t>
      </w:r>
    </w:p>
    <w:p w:rsidR="00B87807" w:rsidRDefault="00AF01F2" w:rsidP="00F464BD">
      <w:pPr>
        <w:spacing w:beforeLines="50" w:afterLines="50" w:line="440" w:lineRule="exact"/>
        <w:ind w:firstLineChars="250" w:firstLine="600"/>
        <w:outlineLvl w:val="1"/>
        <w:rPr>
          <w:rFonts w:ascii="宋体" w:eastAsia="宋体" w:hAnsi="宋体" w:cs="宋体"/>
          <w:sz w:val="24"/>
          <w:szCs w:val="24"/>
          <w:lang w:eastAsia="zh-CN"/>
        </w:rPr>
      </w:pPr>
      <w:r>
        <w:rPr>
          <w:rFonts w:ascii="宋体" w:eastAsia="宋体" w:hAnsi="宋体" w:cs="宋体" w:hint="eastAsia"/>
          <w:sz w:val="24"/>
          <w:szCs w:val="24"/>
          <w:lang w:eastAsia="zh-CN"/>
        </w:rPr>
        <w:t>（六）项目效益分析</w:t>
      </w:r>
    </w:p>
    <w:p w:rsidR="00B87807" w:rsidRDefault="00AF01F2">
      <w:pPr>
        <w:spacing w:after="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虽不能直接产生效益，但本项目顺利实施后，将有助于公司在现有基础上建设一套更加高效和协同的综合信息化平台，提升人力资源管理水平、提升设计业务人员的协同配合、提升经营管理效率，有助于提升公司的管理能力和业务竞争力。</w:t>
      </w:r>
    </w:p>
    <w:p w:rsidR="00B87807" w:rsidRDefault="00AF01F2" w:rsidP="00F464BD">
      <w:pPr>
        <w:spacing w:beforeLines="50" w:afterLines="50" w:line="440" w:lineRule="exact"/>
        <w:ind w:firstLineChars="250" w:firstLine="600"/>
        <w:outlineLvl w:val="1"/>
        <w:rPr>
          <w:rFonts w:ascii="宋体" w:eastAsia="宋体" w:hAnsi="宋体" w:cs="宋体"/>
          <w:sz w:val="24"/>
          <w:szCs w:val="24"/>
          <w:lang w:eastAsia="zh-CN"/>
        </w:rPr>
      </w:pPr>
      <w:r>
        <w:rPr>
          <w:rFonts w:ascii="宋体" w:eastAsia="宋体" w:hAnsi="宋体" w:cs="宋体" w:hint="eastAsia"/>
          <w:sz w:val="24"/>
          <w:szCs w:val="24"/>
          <w:lang w:eastAsia="zh-CN"/>
        </w:rPr>
        <w:t xml:space="preserve">（七）项目备案和环保方面 </w:t>
      </w:r>
    </w:p>
    <w:p w:rsidR="00B87807" w:rsidRDefault="00AF01F2">
      <w:pPr>
        <w:spacing w:after="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截至本预案公告之日，本项目的可行性研究报告已编制完毕，本项目已经完成发改部门备案手续，备案编号：深罗湖发改备案（2017）0058号，本项目涉及的环评工作正在进行中。</w:t>
      </w:r>
    </w:p>
    <w:p w:rsidR="00B87807" w:rsidRDefault="00AF01F2" w:rsidP="00F464BD">
      <w:pPr>
        <w:spacing w:beforeLines="50" w:afterLines="50" w:line="440" w:lineRule="exact"/>
        <w:ind w:firstLine="573"/>
        <w:outlineLvl w:val="0"/>
        <w:rPr>
          <w:rFonts w:ascii="宋体" w:eastAsia="宋体" w:hAnsi="宋体" w:cs="宋体"/>
          <w:sz w:val="28"/>
          <w:szCs w:val="28"/>
          <w:lang w:eastAsia="zh-CN"/>
        </w:rPr>
      </w:pPr>
      <w:r>
        <w:rPr>
          <w:rFonts w:ascii="宋体" w:eastAsia="宋体" w:hAnsi="宋体" w:cs="宋体" w:hint="eastAsia"/>
          <w:sz w:val="28"/>
          <w:szCs w:val="28"/>
          <w:lang w:eastAsia="zh-CN"/>
        </w:rPr>
        <w:t>四、</w:t>
      </w:r>
      <w:r>
        <w:rPr>
          <w:rFonts w:ascii="Times New Roman" w:eastAsia="宋体" w:hAnsi="Times New Roman" w:cs="宋体" w:hint="eastAsia"/>
          <w:sz w:val="28"/>
          <w:szCs w:val="28"/>
          <w:lang w:eastAsia="zh-CN"/>
        </w:rPr>
        <w:t>BIM</w:t>
      </w:r>
      <w:r>
        <w:rPr>
          <w:rFonts w:ascii="宋体" w:eastAsia="宋体" w:hAnsi="宋体" w:cs="宋体" w:hint="eastAsia"/>
          <w:sz w:val="28"/>
          <w:szCs w:val="28"/>
          <w:lang w:eastAsia="zh-CN"/>
        </w:rPr>
        <w:t>技术应用中心建设项目</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（一）项目概况</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（建筑信息模型）技术应用在公司目前尚处于准备和尝试阶段，随着人才和技术储备逐渐成熟，公司拟加大</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技术应用的相关软硬件投入。项目实施后，公司将拥有行业领先的</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技术应用中心。</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（二）项目的必要性和可行性</w:t>
      </w:r>
    </w:p>
    <w:p w:rsidR="00B87807" w:rsidRDefault="00AF01F2" w:rsidP="00F464BD">
      <w:pPr>
        <w:spacing w:beforeLines="50" w:afterLines="50" w:line="440" w:lineRule="exact"/>
        <w:ind w:firstLineChars="200" w:firstLine="480"/>
        <w:rPr>
          <w:rFonts w:ascii="宋体" w:eastAsia="宋体" w:hAnsi="宋体" w:cs="宋体"/>
          <w:sz w:val="24"/>
          <w:szCs w:val="24"/>
          <w:lang w:eastAsia="zh-CN"/>
        </w:rPr>
      </w:pP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、项目的必要性</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）增强</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技术应用实力是行业发展的必然趋势</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建筑信息模型（</w:t>
      </w:r>
      <w:r>
        <w:rPr>
          <w:rFonts w:ascii="Times New Roman" w:eastAsia="宋体" w:hAnsi="Times New Roman" w:cs="宋体" w:hint="eastAsia"/>
          <w:sz w:val="24"/>
          <w:szCs w:val="24"/>
          <w:lang w:eastAsia="zh-CN"/>
        </w:rPr>
        <w:t>BuildingInformationModeling</w:t>
      </w:r>
      <w:r>
        <w:rPr>
          <w:rFonts w:ascii="宋体" w:eastAsia="宋体" w:hAnsi="宋体" w:cs="宋体" w:hint="eastAsia"/>
          <w:sz w:val="24"/>
          <w:szCs w:val="24"/>
          <w:lang w:eastAsia="zh-CN"/>
        </w:rPr>
        <w:t>）是以建筑工程项目的各项相关信息数据作为模型的基础，进行建筑模型的建立，通过数字信息仿真模拟建筑物所具有的真实信息。通过参数模型整合各种项目的相关信息，在项目策划、运行和维护的全生命周期过程中进行共享和传递，使工程技术人员对各种建筑信息作出正确理解和高效应对，为设计团队以及包括建筑运营单位在内的各方建设主体提供协同工作的基础，在提高生产效率、节约成本和缩短工期方面发挥重要作用。它具有可视化，协调性，模拟性，优化性和可出图性五大特点。</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在现代建筑的机电工程项目中，随着智能化建筑的要求越来越高，一般涉及给排水、消防、通风、空调、电气、智能化等多个专业之间相互配合，将直接关系到整个工程的质量、工期、投资和预期效果，因此必须进行管线深化设计。如今，随着</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即建筑信息模型的发展和成熟，以三维数字技术为基础，对建筑物管道设备建立仿真模型，将管线设备的二维图纸进行集成和可视化，在施工图阶段就可以进行管线碰撞检查，优化图纸设计，减少在建筑施工阶段可避免的损失和返工的概率，更加方便进行技术交底，从而达到管线综合优化布置的目的。通过三维管线综合得到</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模型，能较好地解决业主所关心的问题，不仅能形象展示管线布置，还能进行通过空间漫游体验空间效果。</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模型是一个真实系统在计算机中的虚拟反映，管道设备部件均包含完整的数据信息，方便物业维</w:t>
      </w:r>
      <w:r>
        <w:rPr>
          <w:rFonts w:ascii="宋体" w:eastAsia="宋体" w:hAnsi="宋体" w:cs="宋体" w:hint="eastAsia"/>
          <w:sz w:val="24"/>
          <w:szCs w:val="24"/>
          <w:lang w:eastAsia="zh-CN"/>
        </w:rPr>
        <w:lastRenderedPageBreak/>
        <w:t>护。</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技术应用是行业发展的趋势，大力发展</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技术是公司顺应趋势，紧跟市场发展步伐的需要。</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）加强</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技术应用是公司保持竞争优势，赢得未来的关键</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近几年来，随着城市化进程加快，国家对基础设施建设投入逐年加大，建筑行业得到了空前发展，传统“人海战术”式的建筑生产组织方式，因为其对人工劳动严重依赖、简单重复劳动多、科技含量低，使得建筑施工行业作业效率普遍低下、原材料消耗大、环境污染等问题愈发严重，这种现场施工、现场砌筑、人随项目走的习惯性做法已经不符合当今世界“节能减碳”、“绿色环保”的发展要求。同时，由于传统、粗放的产业经营方式导致的高成本、低效率也极大地影响了建筑企业的盈利能力，使建筑行业成为微利行业。</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技术在国外发展成熟，美国、英国、新加坡等部分发达国家已经制定了相关的推广计划，甚至是强制采用方案。目前，</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在国内还处于发展初期阶段，发展非常迅速。奥运会、世博会、上海中心等部分标志性建筑已采用了</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技术，同时部分创新意识较强的一线开发商在实验性采用</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技术，距离大规模运用已经不再遥远。</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本项目的实施，有利于公司率先掌握</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核心技术，并在激烈市场竞争中掌握主动权，享受行业高速发展的成果。</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3</w:t>
      </w:r>
      <w:r>
        <w:rPr>
          <w:rFonts w:ascii="宋体" w:eastAsia="宋体" w:hAnsi="宋体" w:cs="宋体" w:hint="eastAsia"/>
          <w:sz w:val="24"/>
          <w:szCs w:val="24"/>
          <w:lang w:eastAsia="zh-CN"/>
        </w:rPr>
        <w:t>）发展</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技术应用是增强公司竞争力的需要</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目前公司收入主要来源是传统建筑装饰业务，</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技术应用只是作为辅助功能的储备业务。由于传统建筑装饰业务市场容量有限，且竞争激烈，随着我国老龄化社会的形成，未来房地产市场的天花板已经逐步显现。大力开展</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技术应用有利于强化公司的设计实力和综合竞争力，增强公司在市场竞争中的议价能力，提升业务收入，保持利润持续增长，并有望拓宽公司业务范围，增加新的利润增长点。同时，由于</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技术应用的门槛较高，行业利润率处于较高水平，</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技术应用中心建设完成后，有助于提升公司的盈利质量。</w:t>
      </w:r>
    </w:p>
    <w:p w:rsidR="00B87807" w:rsidRDefault="00AF01F2" w:rsidP="00F464BD">
      <w:pPr>
        <w:numPr>
          <w:ilvl w:val="0"/>
          <w:numId w:val="4"/>
        </w:num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项目的可行性</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）我国大力支持</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技术的应用与推广</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lastRenderedPageBreak/>
        <w:t xml:space="preserve">    近年来，为了加快转变建筑业发展方式，增强建筑企业核心竞争力，构建现代建筑业产业发展新体系，实现建筑产业的现代化，行业主管部门和地方政府对</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技术进行了大力推广。住房城乡建设部</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w:t>
      </w:r>
      <w:r>
        <w:rPr>
          <w:rFonts w:ascii="Times New Roman" w:eastAsia="宋体" w:hAnsi="Times New Roman" w:cs="宋体" w:hint="eastAsia"/>
          <w:sz w:val="24"/>
          <w:szCs w:val="24"/>
          <w:lang w:eastAsia="zh-CN"/>
        </w:rPr>
        <w:t>12</w:t>
      </w:r>
      <w:r>
        <w:rPr>
          <w:rFonts w:ascii="宋体" w:eastAsia="宋体" w:hAnsi="宋体" w:cs="宋体" w:hint="eastAsia"/>
          <w:sz w:val="24"/>
          <w:szCs w:val="24"/>
          <w:lang w:eastAsia="zh-CN"/>
        </w:rPr>
        <w:t>月</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日发布的《建筑信息模型应用统一标准》于</w:t>
      </w:r>
      <w:r>
        <w:rPr>
          <w:rFonts w:ascii="Times New Roman" w:eastAsia="宋体" w:hAnsi="Times New Roman" w:cs="宋体" w:hint="eastAsia"/>
          <w:sz w:val="24"/>
          <w:szCs w:val="24"/>
          <w:lang w:eastAsia="zh-CN"/>
        </w:rPr>
        <w:t>2017</w:t>
      </w:r>
      <w:r>
        <w:rPr>
          <w:rFonts w:ascii="宋体" w:eastAsia="宋体" w:hAnsi="宋体" w:cs="宋体" w:hint="eastAsia"/>
          <w:sz w:val="24"/>
          <w:szCs w:val="24"/>
          <w:lang w:eastAsia="zh-CN"/>
        </w:rPr>
        <w:t>年</w:t>
      </w:r>
      <w:r>
        <w:rPr>
          <w:rFonts w:ascii="Times New Roman" w:eastAsia="宋体" w:hAnsi="Times New Roman" w:cs="宋体" w:hint="eastAsia"/>
          <w:sz w:val="24"/>
          <w:szCs w:val="24"/>
          <w:lang w:eastAsia="zh-CN"/>
        </w:rPr>
        <w:t>7</w:t>
      </w:r>
      <w:r>
        <w:rPr>
          <w:rFonts w:ascii="宋体" w:eastAsia="宋体" w:hAnsi="宋体" w:cs="宋体" w:hint="eastAsia"/>
          <w:sz w:val="24"/>
          <w:szCs w:val="24"/>
          <w:lang w:eastAsia="zh-CN"/>
        </w:rPr>
        <w:t>月</w:t>
      </w:r>
      <w:r>
        <w:rPr>
          <w:rFonts w:ascii="Times New Roman" w:eastAsia="宋体" w:hAnsi="Times New Roman" w:cs="宋体" w:hint="eastAsia"/>
          <w:sz w:val="24"/>
          <w:szCs w:val="24"/>
          <w:lang w:eastAsia="zh-CN"/>
        </w:rPr>
        <w:t>1</w:t>
      </w:r>
      <w:r>
        <w:rPr>
          <w:rFonts w:ascii="宋体" w:eastAsia="宋体" w:hAnsi="宋体" w:cs="宋体" w:hint="eastAsia"/>
          <w:sz w:val="24"/>
          <w:szCs w:val="24"/>
          <w:lang w:eastAsia="zh-CN"/>
        </w:rPr>
        <w:t>日实施，这意味着国家倡导的</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技术进入发展新阶段，绿色建造的发展历程中有了重要的“参与者”。</w:t>
      </w:r>
      <w:r>
        <w:rPr>
          <w:rFonts w:ascii="Times New Roman" w:eastAsia="宋体" w:hAnsi="Times New Roman" w:cs="宋体" w:hint="eastAsia"/>
          <w:sz w:val="24"/>
          <w:szCs w:val="24"/>
          <w:lang w:eastAsia="zh-CN"/>
        </w:rPr>
        <w:t>2014</w:t>
      </w:r>
      <w:r>
        <w:rPr>
          <w:rFonts w:ascii="宋体" w:eastAsia="宋体" w:hAnsi="宋体" w:cs="宋体" w:hint="eastAsia"/>
          <w:sz w:val="24"/>
          <w:szCs w:val="24"/>
          <w:lang w:eastAsia="zh-CN"/>
        </w:rPr>
        <w:t>年，广东省住建厅发布《关于开展建筑信息模型</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技术推广应用工作的通知》，到</w:t>
      </w:r>
      <w:r>
        <w:rPr>
          <w:rFonts w:ascii="Times New Roman" w:eastAsia="宋体" w:hAnsi="Times New Roman" w:cs="宋体" w:hint="eastAsia"/>
          <w:sz w:val="24"/>
          <w:szCs w:val="24"/>
          <w:lang w:eastAsia="zh-CN"/>
        </w:rPr>
        <w:t>2015</w:t>
      </w:r>
      <w:r>
        <w:rPr>
          <w:rFonts w:ascii="宋体" w:eastAsia="宋体" w:hAnsi="宋体" w:cs="宋体" w:hint="eastAsia"/>
          <w:sz w:val="24"/>
          <w:szCs w:val="24"/>
          <w:lang w:eastAsia="zh-CN"/>
        </w:rPr>
        <w:t>年底，广东省将基本建立</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技术推广应用的标准体系及技术共享平台；到</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年底，政府投资的</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万平方米以上的大型公共建筑，以及申报绿色建筑项目的设计、施工应当采用</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技术，省优良样板工程、省新技术示范工程、省优秀勘察设计项目在设计、施工、运营管理等环节普遍应用</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技术；到</w:t>
      </w:r>
      <w:r>
        <w:rPr>
          <w:rFonts w:ascii="Times New Roman" w:eastAsia="宋体" w:hAnsi="Times New Roman" w:cs="宋体" w:hint="eastAsia"/>
          <w:sz w:val="24"/>
          <w:szCs w:val="24"/>
          <w:lang w:eastAsia="zh-CN"/>
        </w:rPr>
        <w:t>2020</w:t>
      </w:r>
      <w:r>
        <w:rPr>
          <w:rFonts w:ascii="宋体" w:eastAsia="宋体" w:hAnsi="宋体" w:cs="宋体" w:hint="eastAsia"/>
          <w:sz w:val="24"/>
          <w:szCs w:val="24"/>
          <w:lang w:eastAsia="zh-CN"/>
        </w:rPr>
        <w:t>年底，全省建筑面积</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万平方米及以上的建筑工程项目普遍应用</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Times New Roman" w:eastAsia="宋体" w:hAnsi="Times New Roman" w:cs="宋体" w:hint="eastAsia"/>
          <w:sz w:val="24"/>
          <w:szCs w:val="24"/>
          <w:lang w:eastAsia="zh-CN"/>
        </w:rPr>
        <w:t>2015</w:t>
      </w:r>
      <w:r>
        <w:rPr>
          <w:rFonts w:ascii="宋体" w:eastAsia="宋体" w:hAnsi="宋体" w:cs="宋体" w:hint="eastAsia"/>
          <w:sz w:val="24"/>
          <w:szCs w:val="24"/>
          <w:lang w:eastAsia="zh-CN"/>
        </w:rPr>
        <w:t>年</w:t>
      </w:r>
      <w:r>
        <w:rPr>
          <w:rFonts w:ascii="Times New Roman" w:eastAsia="宋体" w:hAnsi="Times New Roman" w:cs="宋体" w:hint="eastAsia"/>
          <w:sz w:val="24"/>
          <w:szCs w:val="24"/>
          <w:lang w:eastAsia="zh-CN"/>
        </w:rPr>
        <w:t>5</w:t>
      </w:r>
      <w:r>
        <w:rPr>
          <w:rFonts w:ascii="宋体" w:eastAsia="宋体" w:hAnsi="宋体" w:cs="宋体" w:hint="eastAsia"/>
          <w:sz w:val="24"/>
          <w:szCs w:val="24"/>
          <w:lang w:eastAsia="zh-CN"/>
        </w:rPr>
        <w:t>月</w:t>
      </w:r>
      <w:r>
        <w:rPr>
          <w:rFonts w:ascii="Times New Roman" w:eastAsia="宋体" w:hAnsi="Times New Roman" w:cs="宋体" w:hint="eastAsia"/>
          <w:sz w:val="24"/>
          <w:szCs w:val="24"/>
          <w:lang w:eastAsia="zh-CN"/>
        </w:rPr>
        <w:t>4</w:t>
      </w:r>
      <w:r>
        <w:rPr>
          <w:rFonts w:ascii="宋体" w:eastAsia="宋体" w:hAnsi="宋体" w:cs="宋体" w:hint="eastAsia"/>
          <w:sz w:val="24"/>
          <w:szCs w:val="24"/>
          <w:lang w:eastAsia="zh-CN"/>
        </w:rPr>
        <w:t>日，深圳市建筑工务署发布了政府公共工程</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实施纲要及标准——《深圳市建筑工务署政府公共工程</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应用实施纲要》和《深圳市建筑工务署</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实施管理标准》，发布政府公共工程</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实施纲要和实施管理标准，这在全国尚属首例。</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行业主管部门对</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技术应用的行业标准规范及地方政府的政策支持为公司大力发展</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技术应用创造了良好的实施环境。</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）项目前期论证充分，公司为项目储备的人才和技术具备实施基础</w:t>
      </w: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公司在开展</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技术应用前做了大量的准备工作，做过充分的论证与调研，以保证项目建设在理论上和技术上具有可行性。同时，公司负责</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技术相关的人员、技术储备充足，具备开展</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技术应用的实施条件。从目前来看，项目前期进展顺利，已签订了部分项目合同，取得阶段性成果，为后续</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技术应用规模化奠定了基础。</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（三）项目投资规模</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本项目预计总投资</w:t>
      </w:r>
      <w:r>
        <w:rPr>
          <w:rFonts w:eastAsia="宋体" w:hAnsi="Times New Roman" w:cs="宋体" w:hint="eastAsia"/>
          <w:sz w:val="24"/>
          <w:szCs w:val="24"/>
          <w:lang w:eastAsia="zh-CN"/>
        </w:rPr>
        <w:t>9</w:t>
      </w:r>
      <w:r>
        <w:rPr>
          <w:rFonts w:eastAsia="宋体" w:hAnsi="宋体" w:cs="宋体" w:hint="eastAsia"/>
          <w:sz w:val="24"/>
          <w:szCs w:val="24"/>
          <w:lang w:eastAsia="zh-CN"/>
        </w:rPr>
        <w:t>,</w:t>
      </w:r>
      <w:r>
        <w:rPr>
          <w:rFonts w:eastAsia="宋体" w:hAnsi="Times New Roman" w:cs="宋体" w:hint="eastAsia"/>
          <w:sz w:val="24"/>
          <w:szCs w:val="24"/>
          <w:lang w:eastAsia="zh-CN"/>
        </w:rPr>
        <w:t>315</w:t>
      </w:r>
      <w:r>
        <w:rPr>
          <w:rFonts w:eastAsia="宋体" w:hAnsi="宋体" w:cs="宋体" w:hint="eastAsia"/>
          <w:sz w:val="24"/>
          <w:szCs w:val="24"/>
          <w:lang w:eastAsia="zh-CN"/>
        </w:rPr>
        <w:t>.</w:t>
      </w:r>
      <w:r>
        <w:rPr>
          <w:rFonts w:eastAsia="宋体" w:hAnsi="Times New Roman" w:cs="宋体" w:hint="eastAsia"/>
          <w:sz w:val="24"/>
          <w:szCs w:val="24"/>
          <w:lang w:eastAsia="zh-CN"/>
        </w:rPr>
        <w:t>50</w:t>
      </w:r>
      <w:r>
        <w:rPr>
          <w:rFonts w:ascii="宋体" w:eastAsia="宋体" w:hAnsi="宋体" w:cs="宋体" w:hint="eastAsia"/>
          <w:sz w:val="24"/>
          <w:szCs w:val="24"/>
          <w:lang w:eastAsia="zh-CN"/>
        </w:rPr>
        <w:t>万元，其中建筑工程、软硬件购置等建设投资</w:t>
      </w:r>
      <w:r>
        <w:rPr>
          <w:rFonts w:eastAsia="宋体" w:hAnsi="Times New Roman" w:cs="宋体" w:hint="eastAsia"/>
          <w:sz w:val="24"/>
          <w:szCs w:val="24"/>
          <w:lang w:eastAsia="zh-CN"/>
        </w:rPr>
        <w:t>8</w:t>
      </w:r>
      <w:r>
        <w:rPr>
          <w:rFonts w:eastAsia="宋体" w:hAnsi="宋体" w:cs="宋体" w:hint="eastAsia"/>
          <w:sz w:val="24"/>
          <w:szCs w:val="24"/>
          <w:lang w:eastAsia="zh-CN"/>
        </w:rPr>
        <w:t>,</w:t>
      </w:r>
      <w:r>
        <w:rPr>
          <w:rFonts w:eastAsia="宋体" w:hAnsi="Times New Roman" w:cs="宋体" w:hint="eastAsia"/>
          <w:sz w:val="24"/>
          <w:szCs w:val="24"/>
          <w:lang w:eastAsia="zh-CN"/>
        </w:rPr>
        <w:t>965</w:t>
      </w:r>
      <w:r>
        <w:rPr>
          <w:rFonts w:eastAsia="宋体" w:hAnsi="宋体" w:cs="宋体" w:hint="eastAsia"/>
          <w:sz w:val="24"/>
          <w:szCs w:val="24"/>
          <w:lang w:eastAsia="zh-CN"/>
        </w:rPr>
        <w:t>.</w:t>
      </w:r>
      <w:r>
        <w:rPr>
          <w:rFonts w:eastAsia="宋体" w:hAnsi="Times New Roman" w:cs="宋体" w:hint="eastAsia"/>
          <w:sz w:val="24"/>
          <w:szCs w:val="24"/>
          <w:lang w:eastAsia="zh-CN"/>
        </w:rPr>
        <w:t>50</w:t>
      </w:r>
      <w:r>
        <w:rPr>
          <w:rFonts w:ascii="宋体" w:eastAsia="宋体" w:hAnsi="宋体" w:cs="宋体" w:hint="eastAsia"/>
          <w:sz w:val="24"/>
          <w:szCs w:val="24"/>
          <w:lang w:eastAsia="zh-CN"/>
        </w:rPr>
        <w:t>万元，铺底流动资金</w:t>
      </w:r>
      <w:r>
        <w:rPr>
          <w:rFonts w:eastAsia="宋体" w:hAnsi="Times New Roman" w:cs="宋体" w:hint="eastAsia"/>
          <w:sz w:val="24"/>
          <w:szCs w:val="24"/>
          <w:lang w:eastAsia="zh-CN"/>
        </w:rPr>
        <w:t>350</w:t>
      </w:r>
      <w:r>
        <w:rPr>
          <w:rFonts w:eastAsia="宋体" w:hAnsi="宋体" w:cs="宋体" w:hint="eastAsia"/>
          <w:sz w:val="24"/>
          <w:szCs w:val="24"/>
          <w:lang w:eastAsia="zh-CN"/>
        </w:rPr>
        <w:t>.</w:t>
      </w:r>
      <w:r>
        <w:rPr>
          <w:rFonts w:eastAsia="宋体" w:hAnsi="Times New Roman" w:cs="宋体" w:hint="eastAsia"/>
          <w:sz w:val="24"/>
          <w:szCs w:val="24"/>
          <w:lang w:eastAsia="zh-CN"/>
        </w:rPr>
        <w:t>00</w:t>
      </w:r>
      <w:r>
        <w:rPr>
          <w:rFonts w:ascii="宋体" w:eastAsia="宋体" w:hAnsi="宋体" w:cs="宋体" w:hint="eastAsia"/>
          <w:sz w:val="24"/>
          <w:szCs w:val="24"/>
          <w:lang w:eastAsia="zh-CN"/>
        </w:rPr>
        <w:t xml:space="preserve">万元。 </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（四）项目实施主体</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本项目实施主体为深圳广田集团股份有限公司。</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lastRenderedPageBreak/>
        <w:t xml:space="preserve">（五）项目实施进度 </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本项目建设期为</w:t>
      </w:r>
      <w:r>
        <w:rPr>
          <w:rFonts w:ascii="Times New Roman" w:eastAsia="宋体" w:hAnsi="Times New Roman" w:cs="宋体" w:hint="eastAsia"/>
          <w:sz w:val="24"/>
          <w:szCs w:val="24"/>
          <w:lang w:eastAsia="zh-CN"/>
        </w:rPr>
        <w:t>36</w:t>
      </w:r>
      <w:r>
        <w:rPr>
          <w:rFonts w:ascii="宋体" w:eastAsia="宋体" w:hAnsi="宋体" w:cs="宋体" w:hint="eastAsia"/>
          <w:sz w:val="24"/>
          <w:szCs w:val="24"/>
          <w:lang w:eastAsia="zh-CN"/>
        </w:rPr>
        <w:t>个月。</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（六）项目效益分析</w:t>
      </w:r>
    </w:p>
    <w:p w:rsidR="00B87807" w:rsidRDefault="00AF01F2">
      <w:pPr>
        <w:spacing w:after="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本项目属于技术应用及研发类项目，不直接产生经济效益，但项目本身与公司主营业务建筑装饰施工业务息息相关，随着行业发展的趋势，</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技术的应用将成为主流，公司如果不能及时布局</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技术应用将不利于公司市场开拓和维护与现有大客户的合作关系。公司前期良好的人才和技术储备，一方面有利于公司顺利实施该项目，另一方面有助于公司在</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技术应用方面领先行业对手，以提升公司综合业务实力，促进公司主营业务的可持续增长。</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 xml:space="preserve">（七）项目备案和环保方面 </w:t>
      </w:r>
    </w:p>
    <w:p w:rsidR="00B87807" w:rsidRDefault="00AF01F2">
      <w:pPr>
        <w:spacing w:after="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截至本预案公告之日，本项目的可行性研究报告已编制完毕，本项目已经完成发改部门备案手续，备案编号：深罗湖发改备案（2017）0062号，本项目涉及的环评工作正在进行中。</w:t>
      </w:r>
    </w:p>
    <w:p w:rsidR="00B87807" w:rsidRDefault="00AF01F2" w:rsidP="00F464BD">
      <w:pPr>
        <w:spacing w:beforeLines="50" w:afterLines="50" w:line="440" w:lineRule="exact"/>
        <w:ind w:firstLine="573"/>
        <w:outlineLvl w:val="0"/>
        <w:rPr>
          <w:rFonts w:ascii="宋体" w:eastAsia="宋体" w:hAnsi="宋体" w:cs="宋体"/>
          <w:sz w:val="28"/>
          <w:szCs w:val="28"/>
          <w:lang w:eastAsia="zh-CN"/>
        </w:rPr>
      </w:pPr>
      <w:r>
        <w:rPr>
          <w:rFonts w:ascii="宋体" w:eastAsia="宋体" w:hAnsi="宋体" w:cs="宋体" w:hint="eastAsia"/>
          <w:sz w:val="28"/>
          <w:szCs w:val="28"/>
          <w:lang w:eastAsia="zh-CN"/>
        </w:rPr>
        <w:t>五、补充流动资金</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 xml:space="preserve">（一）项目概况 </w:t>
      </w:r>
    </w:p>
    <w:p w:rsidR="00B87807" w:rsidRDefault="00AF01F2">
      <w:pPr>
        <w:spacing w:after="0" w:line="440" w:lineRule="exact"/>
        <w:ind w:left="480"/>
        <w:rPr>
          <w:rFonts w:ascii="宋体" w:eastAsia="宋体" w:hAnsi="宋体" w:cs="宋体"/>
          <w:sz w:val="24"/>
          <w:szCs w:val="24"/>
          <w:lang w:eastAsia="zh-CN"/>
        </w:rPr>
      </w:pPr>
      <w:r>
        <w:rPr>
          <w:rFonts w:ascii="宋体" w:eastAsia="宋体" w:hAnsi="宋体" w:cs="宋体" w:hint="eastAsia"/>
          <w:sz w:val="24"/>
          <w:szCs w:val="24"/>
          <w:lang w:eastAsia="zh-CN"/>
        </w:rPr>
        <w:t xml:space="preserve">项目名称：补充流动资金 </w:t>
      </w:r>
    </w:p>
    <w:p w:rsidR="00B87807" w:rsidRDefault="00AF01F2">
      <w:pPr>
        <w:spacing w:after="0" w:line="440" w:lineRule="exact"/>
        <w:ind w:left="480"/>
        <w:rPr>
          <w:rFonts w:ascii="宋体" w:eastAsia="宋体" w:hAnsi="宋体" w:cs="宋体"/>
          <w:sz w:val="24"/>
          <w:szCs w:val="24"/>
          <w:lang w:eastAsia="zh-CN"/>
        </w:rPr>
      </w:pPr>
      <w:r>
        <w:rPr>
          <w:rFonts w:ascii="宋体" w:eastAsia="宋体" w:hAnsi="宋体" w:cs="宋体" w:hint="eastAsia"/>
          <w:sz w:val="24"/>
          <w:szCs w:val="24"/>
          <w:lang w:eastAsia="zh-CN"/>
        </w:rPr>
        <w:t>项目总投资：</w:t>
      </w:r>
      <w:r>
        <w:rPr>
          <w:rFonts w:eastAsia="宋体" w:hAnsi="Times New Roman" w:cs="宋体" w:hint="eastAsia"/>
          <w:sz w:val="24"/>
          <w:szCs w:val="24"/>
          <w:lang w:eastAsia="zh-CN"/>
        </w:rPr>
        <w:t>35</w:t>
      </w:r>
      <w:r>
        <w:rPr>
          <w:rFonts w:eastAsia="宋体" w:hAnsi="宋体" w:cs="宋体" w:hint="eastAsia"/>
          <w:sz w:val="24"/>
          <w:szCs w:val="24"/>
          <w:lang w:eastAsia="zh-CN"/>
        </w:rPr>
        <w:t>,</w:t>
      </w:r>
      <w:r>
        <w:rPr>
          <w:rFonts w:eastAsia="宋体" w:hAnsi="Times New Roman" w:cs="宋体" w:hint="eastAsia"/>
          <w:sz w:val="24"/>
          <w:szCs w:val="24"/>
          <w:lang w:eastAsia="zh-CN"/>
        </w:rPr>
        <w:t>000</w:t>
      </w:r>
      <w:r>
        <w:rPr>
          <w:rFonts w:eastAsia="宋体" w:hAnsi="宋体" w:cs="宋体" w:hint="eastAsia"/>
          <w:sz w:val="24"/>
          <w:szCs w:val="24"/>
          <w:lang w:eastAsia="zh-CN"/>
        </w:rPr>
        <w:t>.</w:t>
      </w:r>
      <w:r>
        <w:rPr>
          <w:rFonts w:eastAsia="宋体" w:hAnsi="Times New Roman" w:cs="宋体" w:hint="eastAsia"/>
          <w:sz w:val="24"/>
          <w:szCs w:val="24"/>
          <w:lang w:eastAsia="zh-CN"/>
        </w:rPr>
        <w:t>00</w:t>
      </w:r>
      <w:r>
        <w:rPr>
          <w:rFonts w:ascii="宋体" w:eastAsia="宋体" w:hAnsi="宋体" w:cs="宋体" w:hint="eastAsia"/>
          <w:sz w:val="24"/>
          <w:szCs w:val="24"/>
          <w:lang w:eastAsia="zh-CN"/>
        </w:rPr>
        <w:t xml:space="preserve">万元 </w:t>
      </w:r>
    </w:p>
    <w:p w:rsidR="00B87807" w:rsidRDefault="00AF01F2">
      <w:pPr>
        <w:spacing w:after="0" w:line="440" w:lineRule="exact"/>
        <w:ind w:left="480"/>
        <w:rPr>
          <w:rFonts w:ascii="宋体" w:eastAsia="宋体" w:hAnsi="宋体" w:cs="宋体"/>
          <w:sz w:val="24"/>
          <w:szCs w:val="24"/>
          <w:lang w:eastAsia="zh-CN"/>
        </w:rPr>
      </w:pPr>
      <w:r>
        <w:rPr>
          <w:rFonts w:ascii="宋体" w:eastAsia="宋体" w:hAnsi="宋体" w:cs="宋体" w:hint="eastAsia"/>
          <w:sz w:val="24"/>
          <w:szCs w:val="24"/>
          <w:lang w:eastAsia="zh-CN"/>
        </w:rPr>
        <w:t>项目实施主体：深圳广田集团股份有限公司</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（二）项目必要性和可行性</w:t>
      </w:r>
    </w:p>
    <w:p w:rsidR="00B87807" w:rsidRDefault="00AF01F2" w:rsidP="00F464BD">
      <w:pPr>
        <w:numPr>
          <w:ilvl w:val="0"/>
          <w:numId w:val="5"/>
        </w:numPr>
        <w:spacing w:beforeLines="50" w:afterLines="50" w:line="440" w:lineRule="exact"/>
        <w:ind w:left="480"/>
        <w:rPr>
          <w:rFonts w:ascii="宋体" w:eastAsia="宋体" w:hAnsi="宋体" w:cs="宋体"/>
          <w:sz w:val="24"/>
          <w:szCs w:val="24"/>
          <w:lang w:eastAsia="zh-CN"/>
        </w:rPr>
      </w:pPr>
      <w:r>
        <w:rPr>
          <w:rFonts w:ascii="宋体" w:eastAsia="宋体" w:hAnsi="宋体" w:cs="宋体" w:hint="eastAsia"/>
          <w:sz w:val="24"/>
          <w:szCs w:val="24"/>
          <w:lang w:eastAsia="zh-CN"/>
        </w:rPr>
        <w:t>建筑装饰业务持续增长对营运资金的投入要求提高</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是一家以建筑装饰设计与施工为主的综合性企业集团，主要为大型房地产项目、政府机构、大型企业、高档酒店等工程提供装饰设计和施工服务，承接的项目包括公共建筑装饰、住宅精装修等，涵盖星级酒店、商业综合体、大型场馆、写字楼、轨道交通、住宅精装修等多种业态类型。公司所处的建筑装饰行业对资金有着较强的需求，随着业务规模的连续增长，单纯依靠经营活动产生的净现金流已难以满足发行人的流动资金周转。</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年以来，公司主要通过有息负债的方式筹措营运资金，资产负债率和财务费用随着业务规模的增长持续上升；</w:t>
      </w:r>
      <w:r>
        <w:rPr>
          <w:rFonts w:ascii="宋体" w:eastAsia="宋体" w:hAnsi="宋体" w:cs="宋体" w:hint="eastAsia"/>
          <w:sz w:val="24"/>
          <w:szCs w:val="24"/>
          <w:lang w:eastAsia="zh-CN"/>
        </w:rPr>
        <w:lastRenderedPageBreak/>
        <w:t>且有息负债中短期债务的规模较大，根据公司所处行业特点和装饰工程款的结算方式，短期负债与回款周期不完全匹配，客观上要求公司寻求其他更加合理的融资方式解决营运资金不足问题。</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、满足公司开拓新业务和新兴市场的需要</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公司目前正在大力推动传统产业的转型升级，在夯实传统公装业务的同时，积极发展互联网家装、智能家居等新业务，利用“一带一路”契机开拓海外市场，顺应“工业</w:t>
      </w:r>
      <w:r>
        <w:rPr>
          <w:rFonts w:ascii="Times New Roman" w:eastAsia="宋体" w:hAnsi="Times New Roman" w:cs="宋体" w:hint="eastAsia"/>
          <w:sz w:val="24"/>
          <w:szCs w:val="24"/>
          <w:lang w:eastAsia="zh-CN"/>
        </w:rPr>
        <w:t>4</w:t>
      </w: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0</w:t>
      </w:r>
      <w:r>
        <w:rPr>
          <w:rFonts w:ascii="宋体" w:eastAsia="宋体" w:hAnsi="宋体" w:cs="宋体" w:hint="eastAsia"/>
          <w:sz w:val="24"/>
          <w:szCs w:val="24"/>
          <w:lang w:eastAsia="zh-CN"/>
        </w:rPr>
        <w:t>”进行建筑产业化的研发，通过完善产业链，布局装修机器人、</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等信息化、智能化领域，为公司增添利润增长点。而新业务和市场的开拓往往需要公司在资金、人才和时间上的大量投入。本次项目的顺利实施将有助于公司聚焦主业做好主业的同时，提前布局新业务和新市场，为公司的可持续发展创造有利条件，以更好地回报上市公司股东。</w:t>
      </w:r>
    </w:p>
    <w:p w:rsidR="00B87807" w:rsidRDefault="00AF01F2" w:rsidP="00F464BD">
      <w:pPr>
        <w:spacing w:beforeLines="50" w:afterLines="50" w:line="440" w:lineRule="exact"/>
        <w:ind w:firstLine="573"/>
        <w:outlineLvl w:val="0"/>
        <w:rPr>
          <w:rFonts w:ascii="宋体" w:eastAsia="宋体" w:hAnsi="宋体" w:cs="宋体"/>
          <w:b/>
          <w:bCs/>
          <w:sz w:val="24"/>
          <w:szCs w:val="24"/>
          <w:lang w:eastAsia="zh-CN"/>
        </w:rPr>
      </w:pPr>
      <w:r>
        <w:rPr>
          <w:rFonts w:ascii="宋体" w:eastAsia="宋体" w:hAnsi="宋体" w:cs="宋体" w:hint="eastAsia"/>
          <w:b/>
          <w:bCs/>
          <w:sz w:val="28"/>
          <w:szCs w:val="28"/>
          <w:lang w:eastAsia="zh-CN"/>
        </w:rPr>
        <w:t>六、本次发行对公司经营管理、财务状况的影响</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 xml:space="preserve">（一）本次发行对公司经营管理的影响 </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本次募投项目完成后，公司设计业务的人才建设和综合竞争力将得到增强，工程管理的信息化水平将进一步提高，提前布局</w:t>
      </w:r>
      <w:r>
        <w:rPr>
          <w:rFonts w:ascii="Times New Roman" w:eastAsia="宋体" w:hAnsi="Times New Roman" w:cs="宋体" w:hint="eastAsia"/>
          <w:sz w:val="24"/>
          <w:szCs w:val="24"/>
          <w:lang w:eastAsia="zh-CN"/>
        </w:rPr>
        <w:t>BIM</w:t>
      </w:r>
      <w:r>
        <w:rPr>
          <w:rFonts w:ascii="宋体" w:eastAsia="宋体" w:hAnsi="宋体" w:cs="宋体" w:hint="eastAsia"/>
          <w:sz w:val="24"/>
          <w:szCs w:val="24"/>
          <w:lang w:eastAsia="zh-CN"/>
        </w:rPr>
        <w:t>技术应用则进一步稳固公司在行业内的领先地位。本次公开发行将增强公司主营业务的综合竞争力，提升抗风险能力和持续创新能力，为未来进一步发展夯实基础。</w:t>
      </w:r>
    </w:p>
    <w:p w:rsidR="00B87807" w:rsidRDefault="00AF01F2" w:rsidP="00F464BD">
      <w:pPr>
        <w:spacing w:beforeLines="50" w:afterLines="50" w:line="440" w:lineRule="exact"/>
        <w:ind w:firstLine="482"/>
        <w:outlineLvl w:val="1"/>
        <w:rPr>
          <w:rFonts w:ascii="宋体" w:eastAsia="宋体" w:hAnsi="宋体" w:cs="宋体"/>
          <w:sz w:val="24"/>
          <w:szCs w:val="24"/>
          <w:lang w:eastAsia="zh-CN"/>
        </w:rPr>
      </w:pPr>
      <w:r>
        <w:rPr>
          <w:rFonts w:ascii="宋体" w:eastAsia="宋体" w:hAnsi="宋体" w:cs="宋体" w:hint="eastAsia"/>
          <w:sz w:val="24"/>
          <w:szCs w:val="24"/>
          <w:lang w:eastAsia="zh-CN"/>
        </w:rPr>
        <w:t xml:space="preserve">（二）本次发行对公司财务状况的影响 </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公司</w:t>
      </w:r>
      <w:r>
        <w:rPr>
          <w:rFonts w:ascii="Times New Roman" w:eastAsia="宋体" w:hAnsi="Times New Roman" w:cs="宋体" w:hint="eastAsia"/>
          <w:sz w:val="24"/>
          <w:szCs w:val="24"/>
          <w:lang w:eastAsia="zh-CN"/>
        </w:rPr>
        <w:t>2016</w:t>
      </w:r>
      <w:r>
        <w:rPr>
          <w:rFonts w:ascii="宋体" w:eastAsia="宋体" w:hAnsi="宋体" w:cs="宋体" w:hint="eastAsia"/>
          <w:sz w:val="24"/>
          <w:szCs w:val="24"/>
          <w:lang w:eastAsia="zh-CN"/>
        </w:rPr>
        <w:t>年末的资产负债率为</w:t>
      </w:r>
      <w:r>
        <w:rPr>
          <w:rFonts w:ascii="Times New Roman" w:eastAsia="宋体" w:hAnsi="Times New Roman" w:cs="宋体" w:hint="eastAsia"/>
          <w:sz w:val="24"/>
          <w:szCs w:val="24"/>
          <w:lang w:eastAsia="zh-CN"/>
        </w:rPr>
        <w:t>60</w:t>
      </w: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22</w:t>
      </w:r>
      <w:r>
        <w:rPr>
          <w:rFonts w:ascii="宋体" w:eastAsia="宋体" w:hAnsi="宋体" w:cs="宋体" w:hint="eastAsia"/>
          <w:sz w:val="24"/>
          <w:szCs w:val="24"/>
          <w:lang w:eastAsia="zh-CN"/>
        </w:rPr>
        <w:t>%，其中流动负债占总负债的比例为</w:t>
      </w:r>
      <w:r>
        <w:rPr>
          <w:rFonts w:ascii="Times New Roman" w:eastAsia="宋体" w:hAnsi="Times New Roman" w:cs="宋体" w:hint="eastAsia"/>
          <w:sz w:val="24"/>
          <w:szCs w:val="24"/>
          <w:lang w:eastAsia="zh-CN"/>
        </w:rPr>
        <w:t>85</w:t>
      </w:r>
      <w:r>
        <w:rPr>
          <w:rFonts w:ascii="宋体" w:eastAsia="宋体" w:hAnsi="宋体" w:cs="宋体" w:hint="eastAsia"/>
          <w:sz w:val="24"/>
          <w:szCs w:val="24"/>
          <w:lang w:eastAsia="zh-CN"/>
        </w:rPr>
        <w:t>.</w:t>
      </w:r>
      <w:r>
        <w:rPr>
          <w:rFonts w:ascii="Times New Roman" w:eastAsia="宋体" w:hAnsi="Times New Roman" w:cs="宋体" w:hint="eastAsia"/>
          <w:sz w:val="24"/>
          <w:szCs w:val="24"/>
          <w:lang w:eastAsia="zh-CN"/>
        </w:rPr>
        <w:t>60</w:t>
      </w:r>
      <w:r>
        <w:rPr>
          <w:rFonts w:ascii="宋体" w:eastAsia="宋体" w:hAnsi="宋体" w:cs="宋体" w:hint="eastAsia"/>
          <w:sz w:val="24"/>
          <w:szCs w:val="24"/>
          <w:lang w:eastAsia="zh-CN"/>
        </w:rPr>
        <w:t>%，流动负债比例较高虽然可能降低公司的财务费用，但也降低了公司的流动比率，对公司短期偿债能力造成了不利影响。</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为解决上述问题，加之本次募投项目短期内难于产生直接的经济效益，公司决定发行可转债募集资金用于投资本次项目。从可转债自身的特点来看，其兼具股权和债权特征。当公司未来发展形势较好、股价高于转股价时，投资者选择转股，可以增加公司的资本实力，进一步增大公司的债务空间，对未来融资提供了更大空间和更大的灵活性；当公司受宏观经济影响、股价低于转股价时，投资者可能选择不转股，但考虑到可转债的票面利率大多在</w:t>
      </w:r>
      <w:r>
        <w:rPr>
          <w:rFonts w:ascii="Times New Roman" w:eastAsia="宋体" w:hAnsi="Times New Roman" w:cs="宋体" w:hint="eastAsia"/>
          <w:sz w:val="24"/>
          <w:szCs w:val="24"/>
          <w:lang w:eastAsia="zh-CN"/>
        </w:rPr>
        <w:t>2</w:t>
      </w:r>
      <w:r>
        <w:rPr>
          <w:rFonts w:ascii="宋体" w:eastAsia="宋体" w:hAnsi="宋体" w:cs="宋体" w:hint="eastAsia"/>
          <w:sz w:val="24"/>
          <w:szCs w:val="24"/>
          <w:lang w:eastAsia="zh-CN"/>
        </w:rPr>
        <w:t>%以下，小于过去几年公司的加权平均净资产收益率，且公司可转债发行结束</w:t>
      </w:r>
      <w:r>
        <w:rPr>
          <w:rFonts w:ascii="Times New Roman" w:eastAsia="宋体" w:hAnsi="Times New Roman" w:cs="宋体" w:hint="eastAsia"/>
          <w:sz w:val="24"/>
          <w:szCs w:val="24"/>
          <w:lang w:eastAsia="zh-CN"/>
        </w:rPr>
        <w:t>6</w:t>
      </w:r>
      <w:r>
        <w:rPr>
          <w:rFonts w:ascii="宋体" w:eastAsia="宋体" w:hAnsi="宋体" w:cs="宋体" w:hint="eastAsia"/>
          <w:sz w:val="24"/>
          <w:szCs w:val="24"/>
          <w:lang w:eastAsia="zh-CN"/>
        </w:rPr>
        <w:t>个月后才开始转股，到转</w:t>
      </w:r>
      <w:r>
        <w:rPr>
          <w:rFonts w:ascii="宋体" w:eastAsia="宋体" w:hAnsi="宋体" w:cs="宋体" w:hint="eastAsia"/>
          <w:sz w:val="24"/>
          <w:szCs w:val="24"/>
          <w:lang w:eastAsia="zh-CN"/>
        </w:rPr>
        <w:lastRenderedPageBreak/>
        <w:t>股完成，其作为债项承担固定利息的持有期间将大大短于公司债的期限。同时，相对于公司债或者银行借款等纯债务融资方式，公司选择可转债融资方式可有效降低财务成本，实现公司股东利益的最大化。</w:t>
      </w:r>
    </w:p>
    <w:p w:rsidR="00B87807" w:rsidRDefault="00AF01F2" w:rsidP="00F464BD">
      <w:pPr>
        <w:spacing w:beforeLines="50" w:afterLines="50" w:line="440" w:lineRule="exact"/>
        <w:ind w:firstLine="573"/>
        <w:outlineLvl w:val="0"/>
        <w:rPr>
          <w:rFonts w:ascii="宋体" w:eastAsia="宋体" w:hAnsi="宋体" w:cs="宋体"/>
          <w:b/>
          <w:bCs/>
          <w:sz w:val="28"/>
          <w:szCs w:val="28"/>
          <w:lang w:eastAsia="zh-CN"/>
        </w:rPr>
      </w:pPr>
      <w:r>
        <w:rPr>
          <w:rFonts w:ascii="宋体" w:eastAsia="宋体" w:hAnsi="宋体" w:cs="宋体" w:hint="eastAsia"/>
          <w:b/>
          <w:bCs/>
          <w:sz w:val="28"/>
          <w:szCs w:val="28"/>
          <w:lang w:eastAsia="zh-CN"/>
        </w:rPr>
        <w:t>七、可行性分析结论</w:t>
      </w:r>
    </w:p>
    <w:p w:rsidR="00B87807" w:rsidRDefault="00AF01F2" w:rsidP="00F464BD">
      <w:pPr>
        <w:spacing w:beforeLines="50" w:afterLines="50" w:line="440" w:lineRule="exact"/>
        <w:ind w:firstLine="480"/>
        <w:rPr>
          <w:rFonts w:ascii="宋体" w:eastAsia="宋体" w:hAnsi="宋体" w:cs="宋体"/>
          <w:sz w:val="24"/>
          <w:szCs w:val="24"/>
          <w:lang w:eastAsia="zh-CN"/>
        </w:rPr>
      </w:pPr>
      <w:r>
        <w:rPr>
          <w:rFonts w:ascii="宋体" w:eastAsia="宋体" w:hAnsi="宋体" w:cs="宋体" w:hint="eastAsia"/>
          <w:sz w:val="24"/>
          <w:szCs w:val="24"/>
          <w:lang w:eastAsia="zh-CN"/>
        </w:rPr>
        <w:t>综上，本次公开发行可转换公司债券募集资金到位后，公司对募集资金的使用符合公司的实际情况和战略发展目标，有利于满足公司业务发展的资金需求，顺应产业发展趋势，优化公司产业结构，加强公司内部业务的协同效应。通过本次募投项目的实施，公司逐年壮大的设计与技术研发人员的业务用房将得到根本解决，目前主业及新业务新市场开拓的资金压力也能得到一定缓解，有助于公司“大装饰”业务的可持续增长，增强公司整体抗风险能力，并能有效提高公司核心竞争力以提升盈利能力，有助于促进公司的长远健康发展，符合上市公司全体股东的利益。</w:t>
      </w:r>
    </w:p>
    <w:p w:rsidR="00B87807" w:rsidRDefault="00B87807" w:rsidP="00F464BD">
      <w:pPr>
        <w:spacing w:beforeLines="50" w:afterLines="50" w:line="440" w:lineRule="exact"/>
        <w:ind w:firstLine="480"/>
        <w:rPr>
          <w:rFonts w:ascii="宋体" w:eastAsia="宋体" w:hAnsi="宋体" w:cs="宋体"/>
          <w:sz w:val="24"/>
          <w:szCs w:val="24"/>
          <w:lang w:eastAsia="zh-CN"/>
        </w:rPr>
      </w:pPr>
    </w:p>
    <w:p w:rsidR="00B87807" w:rsidRDefault="00B87807" w:rsidP="00F464BD">
      <w:pPr>
        <w:spacing w:beforeLines="50" w:afterLines="50" w:line="440" w:lineRule="exact"/>
        <w:ind w:firstLine="480"/>
        <w:rPr>
          <w:rFonts w:ascii="宋体" w:eastAsia="宋体" w:hAnsi="宋体" w:cs="宋体"/>
          <w:sz w:val="24"/>
          <w:szCs w:val="24"/>
          <w:lang w:eastAsia="zh-CN"/>
        </w:rPr>
      </w:pPr>
    </w:p>
    <w:p w:rsidR="00B87807" w:rsidRDefault="00AF01F2" w:rsidP="00F464BD">
      <w:pPr>
        <w:spacing w:beforeLines="50" w:afterLines="50" w:line="440" w:lineRule="exact"/>
        <w:rPr>
          <w:rFonts w:ascii="宋体" w:eastAsia="宋体" w:hAnsi="宋体" w:cs="宋体"/>
          <w:sz w:val="24"/>
          <w:szCs w:val="24"/>
          <w:lang w:eastAsia="zh-CN"/>
        </w:rPr>
      </w:pPr>
      <w:r>
        <w:rPr>
          <w:rFonts w:ascii="宋体" w:eastAsia="宋体" w:hAnsi="宋体" w:cs="宋体" w:hint="eastAsia"/>
          <w:sz w:val="24"/>
          <w:szCs w:val="24"/>
          <w:lang w:eastAsia="zh-CN"/>
        </w:rPr>
        <w:t xml:space="preserve">                                      深圳广田集团股份有限公司董事会 </w:t>
      </w:r>
    </w:p>
    <w:p w:rsidR="00B87807" w:rsidRDefault="00AF01F2" w:rsidP="00F464BD">
      <w:pPr>
        <w:spacing w:beforeLines="50" w:afterLines="50" w:line="440" w:lineRule="exact"/>
        <w:ind w:firstLineChars="2250" w:firstLine="5400"/>
        <w:rPr>
          <w:rFonts w:ascii="宋体" w:eastAsia="宋体" w:hAnsi="宋体" w:cs="宋体"/>
          <w:sz w:val="24"/>
          <w:szCs w:val="24"/>
          <w:lang w:eastAsia="zh-CN"/>
        </w:rPr>
      </w:pPr>
      <w:bookmarkStart w:id="0" w:name="_GoBack"/>
      <w:bookmarkEnd w:id="0"/>
      <w:r>
        <w:rPr>
          <w:rFonts w:ascii="宋体" w:eastAsia="宋体" w:hAnsi="宋体" w:cs="宋体" w:hint="eastAsia"/>
          <w:sz w:val="24"/>
          <w:szCs w:val="24"/>
          <w:lang w:eastAsia="zh-CN"/>
        </w:rPr>
        <w:t>二〇一七年八月</w:t>
      </w:r>
      <w:r w:rsidR="00445578">
        <w:rPr>
          <w:rFonts w:ascii="宋体" w:eastAsia="宋体" w:hAnsi="宋体" w:cs="宋体" w:hint="eastAsia"/>
          <w:sz w:val="24"/>
          <w:szCs w:val="24"/>
          <w:lang w:eastAsia="zh-CN"/>
        </w:rPr>
        <w:t>三</w:t>
      </w:r>
      <w:r>
        <w:rPr>
          <w:rFonts w:ascii="宋体" w:eastAsia="宋体" w:hAnsi="宋体" w:cs="宋体" w:hint="eastAsia"/>
          <w:sz w:val="24"/>
          <w:szCs w:val="24"/>
          <w:lang w:eastAsia="zh-CN"/>
        </w:rPr>
        <w:t>日</w:t>
      </w:r>
    </w:p>
    <w:p w:rsidR="00B87807" w:rsidRDefault="00B87807" w:rsidP="00B127F4">
      <w:pPr>
        <w:spacing w:beforeLines="50" w:afterLines="50" w:line="440" w:lineRule="exact"/>
        <w:rPr>
          <w:rFonts w:ascii="宋体" w:eastAsia="宋体" w:hAnsi="宋体" w:cs="宋体"/>
          <w:sz w:val="24"/>
          <w:szCs w:val="24"/>
          <w:lang w:eastAsia="zh-CN"/>
        </w:rPr>
      </w:pPr>
    </w:p>
    <w:sectPr w:rsidR="00B87807" w:rsidSect="00B87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B12" w:rsidRDefault="00F22B12" w:rsidP="00E00EF6">
      <w:pPr>
        <w:spacing w:after="0" w:line="240" w:lineRule="auto"/>
      </w:pPr>
      <w:r>
        <w:separator/>
      </w:r>
    </w:p>
  </w:endnote>
  <w:endnote w:type="continuationSeparator" w:id="1">
    <w:p w:rsidR="00F22B12" w:rsidRDefault="00F22B12" w:rsidP="00E00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B12" w:rsidRDefault="00F22B12" w:rsidP="00E00EF6">
      <w:pPr>
        <w:spacing w:after="0" w:line="240" w:lineRule="auto"/>
      </w:pPr>
      <w:r>
        <w:separator/>
      </w:r>
    </w:p>
  </w:footnote>
  <w:footnote w:type="continuationSeparator" w:id="1">
    <w:p w:rsidR="00F22B12" w:rsidRDefault="00F22B12" w:rsidP="00E00E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2C4D2"/>
    <w:multiLevelType w:val="singleLevel"/>
    <w:tmpl w:val="5972C4D2"/>
    <w:lvl w:ilvl="0">
      <w:start w:val="1"/>
      <w:numFmt w:val="decimal"/>
      <w:suff w:val="nothing"/>
      <w:lvlText w:val="%1、"/>
      <w:lvlJc w:val="left"/>
    </w:lvl>
  </w:abstractNum>
  <w:abstractNum w:abstractNumId="1">
    <w:nsid w:val="5972EDAF"/>
    <w:multiLevelType w:val="singleLevel"/>
    <w:tmpl w:val="5972EDAF"/>
    <w:lvl w:ilvl="0">
      <w:start w:val="2"/>
      <w:numFmt w:val="decimal"/>
      <w:suff w:val="nothing"/>
      <w:lvlText w:val="%1、"/>
      <w:lvlJc w:val="left"/>
    </w:lvl>
  </w:abstractNum>
  <w:abstractNum w:abstractNumId="2">
    <w:nsid w:val="59731B57"/>
    <w:multiLevelType w:val="singleLevel"/>
    <w:tmpl w:val="59731B57"/>
    <w:lvl w:ilvl="0">
      <w:start w:val="2"/>
      <w:numFmt w:val="decimal"/>
      <w:suff w:val="nothing"/>
      <w:lvlText w:val="（%1）"/>
      <w:lvlJc w:val="left"/>
    </w:lvl>
  </w:abstractNum>
  <w:abstractNum w:abstractNumId="3">
    <w:nsid w:val="5976DCC4"/>
    <w:multiLevelType w:val="singleLevel"/>
    <w:tmpl w:val="5976DCC4"/>
    <w:lvl w:ilvl="0">
      <w:start w:val="2"/>
      <w:numFmt w:val="decimal"/>
      <w:suff w:val="nothing"/>
      <w:lvlText w:val="%1、"/>
      <w:lvlJc w:val="left"/>
    </w:lvl>
  </w:abstractNum>
  <w:abstractNum w:abstractNumId="4">
    <w:nsid w:val="5976E2A7"/>
    <w:multiLevelType w:val="singleLevel"/>
    <w:tmpl w:val="5976E2A7"/>
    <w:lvl w:ilvl="0">
      <w:start w:val="2"/>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37AD"/>
    <w:rsid w:val="00092987"/>
    <w:rsid w:val="001258AD"/>
    <w:rsid w:val="00172A27"/>
    <w:rsid w:val="00193C09"/>
    <w:rsid w:val="001E7843"/>
    <w:rsid w:val="00293A56"/>
    <w:rsid w:val="002C3D90"/>
    <w:rsid w:val="0036497E"/>
    <w:rsid w:val="003B2B34"/>
    <w:rsid w:val="003C334A"/>
    <w:rsid w:val="003F6CDB"/>
    <w:rsid w:val="00443C1C"/>
    <w:rsid w:val="0044504F"/>
    <w:rsid w:val="00445578"/>
    <w:rsid w:val="004A0D26"/>
    <w:rsid w:val="004B0433"/>
    <w:rsid w:val="004D5DED"/>
    <w:rsid w:val="00513DB4"/>
    <w:rsid w:val="00583EA9"/>
    <w:rsid w:val="005A211B"/>
    <w:rsid w:val="00687EC1"/>
    <w:rsid w:val="006C4FEF"/>
    <w:rsid w:val="006F2FBD"/>
    <w:rsid w:val="007B4902"/>
    <w:rsid w:val="007C294D"/>
    <w:rsid w:val="00801777"/>
    <w:rsid w:val="00813D63"/>
    <w:rsid w:val="00851424"/>
    <w:rsid w:val="0087611A"/>
    <w:rsid w:val="009102FB"/>
    <w:rsid w:val="00980FE1"/>
    <w:rsid w:val="0098370F"/>
    <w:rsid w:val="00A03518"/>
    <w:rsid w:val="00AD1B37"/>
    <w:rsid w:val="00AF01F2"/>
    <w:rsid w:val="00B127F4"/>
    <w:rsid w:val="00B54EF9"/>
    <w:rsid w:val="00B77E40"/>
    <w:rsid w:val="00B87807"/>
    <w:rsid w:val="00BB3AF7"/>
    <w:rsid w:val="00BF46CF"/>
    <w:rsid w:val="00CA2CA0"/>
    <w:rsid w:val="00CC477D"/>
    <w:rsid w:val="00CF0609"/>
    <w:rsid w:val="00E00EF6"/>
    <w:rsid w:val="00E80E3E"/>
    <w:rsid w:val="00F22B12"/>
    <w:rsid w:val="00F464BD"/>
    <w:rsid w:val="051C270B"/>
    <w:rsid w:val="28C26483"/>
    <w:rsid w:val="28FD31BF"/>
    <w:rsid w:val="2B1A32CB"/>
    <w:rsid w:val="30987734"/>
    <w:rsid w:val="315B6A7D"/>
    <w:rsid w:val="316A0400"/>
    <w:rsid w:val="31D05700"/>
    <w:rsid w:val="38C03D1E"/>
    <w:rsid w:val="4A2F52D1"/>
    <w:rsid w:val="4E2F35BB"/>
    <w:rsid w:val="7A662AFD"/>
    <w:rsid w:val="7AC43E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7807"/>
    <w:pPr>
      <w:widowControl w:val="0"/>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B87807"/>
    <w:rPr>
      <w:b/>
      <w:bCs/>
    </w:rPr>
  </w:style>
  <w:style w:type="paragraph" w:styleId="a4">
    <w:name w:val="annotation text"/>
    <w:basedOn w:val="a"/>
    <w:link w:val="Char0"/>
    <w:rsid w:val="00B87807"/>
  </w:style>
  <w:style w:type="paragraph" w:styleId="a5">
    <w:name w:val="Balloon Text"/>
    <w:basedOn w:val="a"/>
    <w:link w:val="Char1"/>
    <w:rsid w:val="00B87807"/>
    <w:pPr>
      <w:spacing w:after="0" w:line="240" w:lineRule="auto"/>
    </w:pPr>
    <w:rPr>
      <w:sz w:val="18"/>
      <w:szCs w:val="18"/>
    </w:rPr>
  </w:style>
  <w:style w:type="paragraph" w:styleId="a6">
    <w:name w:val="footer"/>
    <w:basedOn w:val="a"/>
    <w:link w:val="Char2"/>
    <w:qFormat/>
    <w:rsid w:val="00B87807"/>
    <w:pPr>
      <w:tabs>
        <w:tab w:val="center" w:pos="4153"/>
        <w:tab w:val="right" w:pos="8306"/>
      </w:tabs>
      <w:snapToGrid w:val="0"/>
      <w:spacing w:line="240" w:lineRule="auto"/>
    </w:pPr>
    <w:rPr>
      <w:sz w:val="18"/>
      <w:szCs w:val="18"/>
    </w:rPr>
  </w:style>
  <w:style w:type="paragraph" w:styleId="a7">
    <w:name w:val="header"/>
    <w:basedOn w:val="a"/>
    <w:link w:val="Char3"/>
    <w:qFormat/>
    <w:rsid w:val="00B87807"/>
    <w:pPr>
      <w:pBdr>
        <w:bottom w:val="single" w:sz="6" w:space="1" w:color="auto"/>
      </w:pBdr>
      <w:tabs>
        <w:tab w:val="center" w:pos="4153"/>
        <w:tab w:val="right" w:pos="8306"/>
      </w:tabs>
      <w:snapToGrid w:val="0"/>
      <w:spacing w:line="240" w:lineRule="auto"/>
      <w:jc w:val="center"/>
    </w:pPr>
    <w:rPr>
      <w:sz w:val="18"/>
      <w:szCs w:val="18"/>
    </w:rPr>
  </w:style>
  <w:style w:type="character" w:styleId="a8">
    <w:name w:val="annotation reference"/>
    <w:basedOn w:val="a0"/>
    <w:rsid w:val="00B87807"/>
    <w:rPr>
      <w:sz w:val="21"/>
      <w:szCs w:val="21"/>
    </w:rPr>
  </w:style>
  <w:style w:type="character" w:customStyle="1" w:styleId="Char1">
    <w:name w:val="批注框文本 Char"/>
    <w:basedOn w:val="a0"/>
    <w:link w:val="a5"/>
    <w:qFormat/>
    <w:rsid w:val="00B87807"/>
    <w:rPr>
      <w:rFonts w:eastAsiaTheme="minorHAnsi"/>
      <w:sz w:val="18"/>
      <w:szCs w:val="18"/>
      <w:lang w:eastAsia="en-US"/>
    </w:rPr>
  </w:style>
  <w:style w:type="character" w:customStyle="1" w:styleId="Char3">
    <w:name w:val="页眉 Char"/>
    <w:basedOn w:val="a0"/>
    <w:link w:val="a7"/>
    <w:qFormat/>
    <w:rsid w:val="00B87807"/>
    <w:rPr>
      <w:rFonts w:eastAsiaTheme="minorHAnsi"/>
      <w:sz w:val="18"/>
      <w:szCs w:val="18"/>
      <w:lang w:eastAsia="en-US"/>
    </w:rPr>
  </w:style>
  <w:style w:type="character" w:customStyle="1" w:styleId="Char2">
    <w:name w:val="页脚 Char"/>
    <w:basedOn w:val="a0"/>
    <w:link w:val="a6"/>
    <w:qFormat/>
    <w:rsid w:val="00B87807"/>
    <w:rPr>
      <w:rFonts w:eastAsiaTheme="minorHAnsi"/>
      <w:sz w:val="18"/>
      <w:szCs w:val="18"/>
      <w:lang w:eastAsia="en-US"/>
    </w:rPr>
  </w:style>
  <w:style w:type="character" w:customStyle="1" w:styleId="Char0">
    <w:name w:val="批注文字 Char"/>
    <w:basedOn w:val="a0"/>
    <w:link w:val="a4"/>
    <w:qFormat/>
    <w:rsid w:val="00B87807"/>
    <w:rPr>
      <w:rFonts w:eastAsiaTheme="minorHAnsi"/>
      <w:sz w:val="22"/>
      <w:szCs w:val="22"/>
      <w:lang w:eastAsia="en-US"/>
    </w:rPr>
  </w:style>
  <w:style w:type="character" w:customStyle="1" w:styleId="Char">
    <w:name w:val="批注主题 Char"/>
    <w:basedOn w:val="Char0"/>
    <w:link w:val="a3"/>
    <w:qFormat/>
    <w:rsid w:val="00B87807"/>
    <w:rPr>
      <w:rFonts w:eastAsiaTheme="minorHAnsi"/>
      <w:b/>
      <w:bCs/>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28DD8-AA60-41DD-B346-34F26F49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1539</Words>
  <Characters>8773</Characters>
  <Application>Microsoft Office Word</Application>
  <DocSecurity>0</DocSecurity>
  <Lines>73</Lines>
  <Paragraphs>20</Paragraphs>
  <ScaleCrop>false</ScaleCrop>
  <Company>Microsoft</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卢平</dc:creator>
  <cp:lastModifiedBy>fffff</cp:lastModifiedBy>
  <cp:revision>12</cp:revision>
  <dcterms:created xsi:type="dcterms:W3CDTF">2017-07-27T14:20:00Z</dcterms:created>
  <dcterms:modified xsi:type="dcterms:W3CDTF">2017-08-02T10:45:00Z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