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深圳广田集团股份有限公司预重整</w:t>
      </w:r>
    </w:p>
    <w:p>
      <w:pPr>
        <w:spacing w:line="44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债权申报公告</w:t>
      </w:r>
    </w:p>
    <w:p>
      <w:pPr>
        <w:spacing w:line="440" w:lineRule="exact"/>
        <w:rPr>
          <w:rFonts w:ascii="华文中宋" w:hAnsi="华文中宋" w:eastAsia="华文中宋" w:cs="华文中宋"/>
          <w:sz w:val="28"/>
          <w:szCs w:val="28"/>
        </w:rPr>
      </w:pPr>
    </w:p>
    <w:p>
      <w:pPr>
        <w:spacing w:line="44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2023年1月5日，深圳市中级人民法院(以下简称“深圳中院”)作出（2022）粤03破申879号《决定书》,依法决定对深圳广田集团股份有限公司(以下简称“广田集团”)启动预重整程序，并指定广东卓建律师事务所担任预重整期间的临时管理人。</w:t>
      </w:r>
    </w:p>
    <w:p>
      <w:pPr>
        <w:spacing w:line="440" w:lineRule="exact"/>
        <w:ind w:firstLine="560" w:firstLineChars="200"/>
        <w:jc w:val="both"/>
        <w:rPr>
          <w:rFonts w:ascii="仿宋" w:hAnsi="仿宋" w:eastAsia="仿宋" w:cs="仿宋"/>
          <w:sz w:val="28"/>
          <w:szCs w:val="28"/>
          <w:highlight w:val="yellow"/>
        </w:rPr>
      </w:pPr>
      <w:r>
        <w:rPr>
          <w:rFonts w:hint="eastAsia" w:ascii="仿宋" w:hAnsi="仿宋" w:eastAsia="仿宋" w:cs="仿宋"/>
          <w:sz w:val="28"/>
          <w:szCs w:val="28"/>
        </w:rPr>
        <w:t>广田集团的债权人应于2023年2月20日(含当日)前，以邮寄申报的形式（邮寄申报存在客观障碍的，可以采取现场申报方式）向临时管理人申报登记债权{邮寄申报/现场申报地址：广东省深圳市罗湖区深南东路2098号广田集团大厦（盛华大厦）16楼，联系人及联系电话：吴律师17841104023、刘律师13538027552、魏律师18899859540,邮政编码：518001,工作时间：工作日上午9:00-12:00,下午14:00-18:00}。书面说明债权形成的原因、债权数额、有无财产担保、是否属于连带债权等事项，并提供相关证据材料。债权申报指引及附件可从本公告附件下载获取或联系临时管理人获取。</w:t>
      </w:r>
    </w:p>
    <w:p>
      <w:pPr>
        <w:spacing w:line="44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需要特别说明的是，目前深圳中院系决定对广田集团进行预重整，是否受理广田集团破产重整将由深圳中院依法审查决定。因此，广田集团能否进入破产重整程序尚存在不确定性。若后续广田集团进入破产重整程序，债权人在预重整阶段的债权申报继续有效，无需再行申报；预重整期间，临时管理人和债权人对法律关系成立与否、债权性质、债权本金等的审查和确认在正式破产重整程序中具有同等法律效力。附利息的债权，利息暂计至深圳中院决定启动预重整之日(2023年1月5日),如未来阶段深圳中院裁定受理广田集团破产重整,对于附利息的债权，管理人将根据《中华人民共和国企业破产法》第四十六条第二款的规定追加计算利息至破产重整申请受理日之前一日，并根据《中华人民共和国企业破产法》及其司法解释的相关规定编制债权表提交给债权人会议核查，债权人对广田集团享有的债权的金额及性质最终以深圳中院在破产重整程序中裁定确认为准。</w:t>
      </w:r>
    </w:p>
    <w:p>
      <w:pPr>
        <w:spacing w:line="44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关于债权申报的具体事项，请详细阅读《深圳广田集团股份有限公司预重整债权申报指引》。</w:t>
      </w:r>
    </w:p>
    <w:p>
      <w:pPr>
        <w:spacing w:line="44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如预重整期间需要召开债权人会议的，相关事项届时将另行通知。</w:t>
      </w:r>
    </w:p>
    <w:p>
      <w:pPr>
        <w:spacing w:line="440" w:lineRule="exact"/>
        <w:ind w:firstLine="560" w:firstLineChars="200"/>
        <w:jc w:val="both"/>
        <w:rPr>
          <w:rFonts w:ascii="仿宋" w:hAnsi="仿宋" w:eastAsia="仿宋" w:cs="仿宋"/>
          <w:sz w:val="28"/>
          <w:szCs w:val="28"/>
        </w:rPr>
      </w:pPr>
    </w:p>
    <w:p>
      <w:pPr>
        <w:spacing w:line="440" w:lineRule="exact"/>
        <w:ind w:firstLine="560" w:firstLineChars="200"/>
        <w:rPr>
          <w:rFonts w:ascii="仿宋" w:hAnsi="仿宋" w:eastAsia="仿宋" w:cs="仿宋"/>
          <w:b/>
          <w:bCs/>
          <w:sz w:val="28"/>
          <w:szCs w:val="28"/>
        </w:rPr>
      </w:pPr>
      <w:r>
        <w:rPr>
          <w:rFonts w:hint="eastAsia" w:ascii="仿宋" w:hAnsi="仿宋" w:eastAsia="仿宋" w:cs="仿宋"/>
          <w:sz w:val="28"/>
          <w:szCs w:val="28"/>
        </w:rPr>
        <w:t>特此公告</w:t>
      </w:r>
    </w:p>
    <w:p>
      <w:pPr>
        <w:spacing w:line="440" w:lineRule="exact"/>
        <w:jc w:val="right"/>
        <w:rPr>
          <w:rFonts w:ascii="仿宋" w:hAnsi="仿宋" w:eastAsia="仿宋" w:cs="仿宋"/>
          <w:b/>
          <w:bCs/>
          <w:sz w:val="28"/>
          <w:szCs w:val="28"/>
        </w:rPr>
      </w:pPr>
      <w:r>
        <w:rPr>
          <w:rFonts w:hint="eastAsia" w:ascii="仿宋" w:hAnsi="仿宋" w:eastAsia="仿宋" w:cs="仿宋"/>
          <w:b/>
          <w:bCs/>
          <w:sz w:val="28"/>
          <w:szCs w:val="28"/>
        </w:rPr>
        <w:t>深圳广田集团股份有限公司临时管理人</w:t>
      </w:r>
    </w:p>
    <w:p>
      <w:pPr>
        <w:spacing w:line="440" w:lineRule="exact"/>
        <w:jc w:val="right"/>
        <w:rPr>
          <w:rFonts w:ascii="仿宋" w:hAnsi="仿宋" w:eastAsia="仿宋" w:cs="仿宋"/>
          <w:b/>
          <w:bCs/>
          <w:sz w:val="28"/>
          <w:szCs w:val="28"/>
        </w:rPr>
      </w:pPr>
      <w:r>
        <w:rPr>
          <w:rFonts w:hint="eastAsia" w:ascii="仿宋" w:hAnsi="仿宋" w:eastAsia="仿宋" w:cs="仿宋"/>
          <w:b/>
          <w:bCs/>
          <w:sz w:val="28"/>
          <w:szCs w:val="28"/>
        </w:rPr>
        <w:t xml:space="preserve"> 2023年1月11日</w:t>
      </w:r>
    </w:p>
    <w:p>
      <w:pPr>
        <w:spacing w:line="440" w:lineRule="exact"/>
        <w:jc w:val="right"/>
        <w:rPr>
          <w:rFonts w:ascii="仿宋" w:hAnsi="仿宋" w:eastAsia="仿宋" w:cs="仿宋"/>
          <w:b/>
          <w:bCs/>
          <w:sz w:val="28"/>
          <w:szCs w:val="28"/>
        </w:rPr>
      </w:pPr>
    </w:p>
    <w:p>
      <w:pPr>
        <w:spacing w:line="440" w:lineRule="exact"/>
        <w:jc w:val="right"/>
        <w:rPr>
          <w:rFonts w:ascii="仿宋" w:hAnsi="仿宋" w:eastAsia="仿宋" w:cs="仿宋"/>
          <w:b/>
          <w:bCs/>
          <w:sz w:val="28"/>
          <w:szCs w:val="28"/>
        </w:rPr>
      </w:pPr>
    </w:p>
    <w:p>
      <w:pPr>
        <w:spacing w:line="440" w:lineRule="exact"/>
        <w:rPr>
          <w:rFonts w:ascii="仿宋" w:hAnsi="仿宋" w:eastAsia="仿宋" w:cs="仿宋"/>
          <w:b/>
          <w:bCs/>
          <w:sz w:val="28"/>
          <w:szCs w:val="28"/>
        </w:rPr>
      </w:pPr>
      <w:r>
        <w:rPr>
          <w:rFonts w:hint="eastAsia" w:ascii="仿宋" w:hAnsi="仿宋" w:eastAsia="仿宋" w:cs="仿宋"/>
          <w:b/>
          <w:bCs/>
          <w:sz w:val="28"/>
          <w:szCs w:val="28"/>
        </w:rPr>
        <w:t>附件：《深圳广田集团股份有限公司预重整债权申报指引》（含附件）</w:t>
      </w:r>
    </w:p>
    <w:p>
      <w:pPr>
        <w:rPr>
          <w:rFonts w:ascii="仿宋" w:hAnsi="仿宋" w:eastAsia="仿宋" w:cs="仿宋"/>
          <w:b/>
          <w:bCs/>
          <w:sz w:val="28"/>
          <w:szCs w:val="28"/>
        </w:rPr>
      </w:pPr>
      <w:r>
        <w:rPr>
          <w:rFonts w:hint="eastAsia" w:ascii="仿宋" w:hAnsi="仿宋" w:eastAsia="仿宋" w:cs="仿宋"/>
          <w:b/>
          <w:bCs/>
          <w:sz w:val="28"/>
          <w:szCs w:val="28"/>
        </w:rPr>
        <w:br w:type="page"/>
      </w:r>
    </w:p>
    <w:p>
      <w:pPr>
        <w:spacing w:line="440" w:lineRule="exact"/>
        <w:jc w:val="center"/>
        <w:rPr>
          <w:rFonts w:ascii="华文中宋" w:hAnsi="华文中宋" w:eastAsia="华文中宋" w:cs="华文中宋"/>
          <w:b/>
          <w:bCs/>
          <w:sz w:val="36"/>
          <w:szCs w:val="36"/>
          <w:lang w:val="zh-CN" w:bidi="zh-CN"/>
        </w:rPr>
      </w:pPr>
      <w:r>
        <w:rPr>
          <w:rFonts w:hint="eastAsia" w:ascii="华文中宋" w:hAnsi="华文中宋" w:eastAsia="华文中宋" w:cs="华文中宋"/>
          <w:b/>
          <w:bCs/>
          <w:sz w:val="36"/>
          <w:szCs w:val="36"/>
          <w:lang w:val="zh-CN" w:bidi="zh-CN"/>
        </w:rPr>
        <w:t>深圳广田集团股份有限公司预重整债权申报指引</w:t>
      </w: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202</w:t>
      </w:r>
      <w:r>
        <w:rPr>
          <w:rFonts w:hint="eastAsia" w:ascii="仿宋" w:hAnsi="仿宋" w:eastAsia="仿宋" w:cs="仿宋"/>
          <w:snapToGrid/>
          <w:sz w:val="28"/>
          <w:szCs w:val="28"/>
          <w:lang w:bidi="zh-CN"/>
        </w:rPr>
        <w:t>3</w:t>
      </w:r>
      <w:r>
        <w:rPr>
          <w:rFonts w:hint="eastAsia" w:ascii="仿宋" w:hAnsi="仿宋" w:eastAsia="仿宋" w:cs="仿宋"/>
          <w:snapToGrid/>
          <w:sz w:val="28"/>
          <w:szCs w:val="28"/>
          <w:lang w:val="zh-CN" w:bidi="zh-CN"/>
        </w:rPr>
        <w:t>年</w:t>
      </w:r>
      <w:r>
        <w:rPr>
          <w:rFonts w:hint="eastAsia" w:ascii="仿宋" w:hAnsi="仿宋" w:eastAsia="仿宋" w:cs="仿宋"/>
          <w:snapToGrid/>
          <w:sz w:val="28"/>
          <w:szCs w:val="28"/>
          <w:lang w:bidi="zh-CN"/>
        </w:rPr>
        <w:t>1</w:t>
      </w:r>
      <w:r>
        <w:rPr>
          <w:rFonts w:hint="eastAsia" w:ascii="仿宋" w:hAnsi="仿宋" w:eastAsia="仿宋" w:cs="仿宋"/>
          <w:snapToGrid/>
          <w:sz w:val="28"/>
          <w:szCs w:val="28"/>
          <w:lang w:val="zh-CN" w:bidi="zh-CN"/>
        </w:rPr>
        <w:t>月</w:t>
      </w:r>
      <w:r>
        <w:rPr>
          <w:rFonts w:hint="eastAsia" w:ascii="仿宋" w:hAnsi="仿宋" w:eastAsia="仿宋" w:cs="仿宋"/>
          <w:snapToGrid/>
          <w:sz w:val="28"/>
          <w:szCs w:val="28"/>
          <w:lang w:bidi="zh-CN"/>
        </w:rPr>
        <w:t>5</w:t>
      </w:r>
      <w:r>
        <w:rPr>
          <w:rFonts w:hint="eastAsia" w:ascii="仿宋" w:hAnsi="仿宋" w:eastAsia="仿宋" w:cs="仿宋"/>
          <w:snapToGrid/>
          <w:sz w:val="28"/>
          <w:szCs w:val="28"/>
          <w:lang w:val="zh-CN" w:bidi="zh-CN"/>
        </w:rPr>
        <w:t>日，深圳市中级人民法院（以下简称“深圳中院”）作出（</w:t>
      </w:r>
      <w:r>
        <w:rPr>
          <w:rFonts w:hint="eastAsia" w:ascii="仿宋" w:hAnsi="仿宋" w:eastAsia="仿宋" w:cs="仿宋"/>
          <w:snapToGrid/>
          <w:sz w:val="28"/>
          <w:szCs w:val="28"/>
          <w:lang w:bidi="zh-CN"/>
        </w:rPr>
        <w:t>2022</w:t>
      </w:r>
      <w:r>
        <w:rPr>
          <w:rFonts w:hint="eastAsia" w:ascii="仿宋" w:hAnsi="仿宋" w:eastAsia="仿宋" w:cs="仿宋"/>
          <w:snapToGrid/>
          <w:sz w:val="28"/>
          <w:szCs w:val="28"/>
          <w:lang w:val="zh-CN" w:bidi="zh-CN"/>
        </w:rPr>
        <w:t>）粤03破申</w:t>
      </w:r>
      <w:r>
        <w:rPr>
          <w:rFonts w:hint="eastAsia" w:ascii="仿宋" w:hAnsi="仿宋" w:eastAsia="仿宋" w:cs="仿宋"/>
          <w:snapToGrid/>
          <w:sz w:val="28"/>
          <w:szCs w:val="28"/>
          <w:lang w:bidi="zh-CN"/>
        </w:rPr>
        <w:t>879</w:t>
      </w:r>
      <w:r>
        <w:rPr>
          <w:rFonts w:hint="eastAsia" w:ascii="仿宋" w:hAnsi="仿宋" w:eastAsia="仿宋" w:cs="仿宋"/>
          <w:snapToGrid/>
          <w:sz w:val="28"/>
          <w:szCs w:val="28"/>
          <w:lang w:val="zh-CN" w:bidi="zh-CN"/>
        </w:rPr>
        <w:t>号《决定书》，决定对深圳广田集团股份有限公司（以下简称“广田集团”或“债务人”）启动预重整程序，并指定广东卓建律师事务所担任预重整期间的临时管理人。为明确债权申报有关事项，帮助债权人顺利申报债权，临时管理人现就相关问题作如下指引：</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一、债权申报主体</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截至深圳中院决定启动预重整程序之日（202</w:t>
      </w:r>
      <w:r>
        <w:rPr>
          <w:rFonts w:hint="eastAsia" w:ascii="仿宋" w:hAnsi="仿宋" w:eastAsia="仿宋" w:cs="仿宋"/>
          <w:snapToGrid/>
          <w:sz w:val="28"/>
          <w:szCs w:val="28"/>
          <w:lang w:bidi="zh-CN"/>
        </w:rPr>
        <w:t>3</w:t>
      </w:r>
      <w:r>
        <w:rPr>
          <w:rFonts w:hint="eastAsia" w:ascii="仿宋" w:hAnsi="仿宋" w:eastAsia="仿宋" w:cs="仿宋"/>
          <w:snapToGrid/>
          <w:sz w:val="28"/>
          <w:szCs w:val="28"/>
          <w:lang w:val="zh-CN" w:bidi="zh-CN"/>
        </w:rPr>
        <w:t>年</w:t>
      </w:r>
      <w:r>
        <w:rPr>
          <w:rFonts w:hint="eastAsia" w:ascii="仿宋" w:hAnsi="仿宋" w:eastAsia="仿宋" w:cs="仿宋"/>
          <w:snapToGrid/>
          <w:sz w:val="28"/>
          <w:szCs w:val="28"/>
          <w:lang w:bidi="zh-CN"/>
        </w:rPr>
        <w:t>1</w:t>
      </w:r>
      <w:r>
        <w:rPr>
          <w:rFonts w:hint="eastAsia" w:ascii="仿宋" w:hAnsi="仿宋" w:eastAsia="仿宋" w:cs="仿宋"/>
          <w:snapToGrid/>
          <w:sz w:val="28"/>
          <w:szCs w:val="28"/>
          <w:lang w:val="zh-CN" w:bidi="zh-CN"/>
        </w:rPr>
        <w:t>月</w:t>
      </w:r>
      <w:r>
        <w:rPr>
          <w:rFonts w:hint="eastAsia" w:ascii="仿宋" w:hAnsi="仿宋" w:eastAsia="仿宋" w:cs="仿宋"/>
          <w:snapToGrid/>
          <w:sz w:val="28"/>
          <w:szCs w:val="28"/>
          <w:lang w:bidi="zh-CN"/>
        </w:rPr>
        <w:t>5</w:t>
      </w:r>
      <w:r>
        <w:rPr>
          <w:rFonts w:hint="eastAsia" w:ascii="仿宋" w:hAnsi="仿宋" w:eastAsia="仿宋" w:cs="仿宋"/>
          <w:snapToGrid/>
          <w:sz w:val="28"/>
          <w:szCs w:val="28"/>
          <w:lang w:val="zh-CN" w:bidi="zh-CN"/>
        </w:rPr>
        <w:t>日）对广田集团享有债权的债权人，均可以向临时管理人申报债权。未到期的债权，自深圳中院决定启动预重整程序之日时视为到期，相关债权人可向临时管理人申报债权。</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对于担保债权、附条件、附期限的债权和诉讼、仲裁未决的债权，债权人可以向临时管理人申报债权。对于债务人所欠职工的工资和医疗、伤残补助、抚恤费用等法定职工债权，不必申报，由临时管理人调查后列出清单并予以公示。</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二、债权申报登记审查工作负责主体</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广田集团临时管理人是负责本次债权申报登记审查工作的唯一法定主体，债权人向广田集团、深圳中院等主体申报债权的视为无效申报。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三、债权申报期限及申报时间</w:t>
      </w:r>
    </w:p>
    <w:p>
      <w:pPr>
        <w:widowControl w:val="0"/>
        <w:kinsoku/>
        <w:adjustRightInd/>
        <w:snapToGrid/>
        <w:spacing w:line="440" w:lineRule="exact"/>
        <w:ind w:firstLine="562" w:firstLineChars="200"/>
        <w:jc w:val="both"/>
        <w:textAlignment w:val="auto"/>
        <w:rPr>
          <w:rFonts w:ascii="仿宋" w:hAnsi="仿宋" w:eastAsia="仿宋" w:cs="仿宋"/>
          <w:snapToGrid/>
          <w:sz w:val="28"/>
          <w:szCs w:val="28"/>
          <w:lang w:val="zh-CN" w:bidi="zh-CN"/>
        </w:rPr>
      </w:pPr>
      <w:r>
        <w:rPr>
          <w:rFonts w:hint="eastAsia" w:ascii="仿宋" w:hAnsi="仿宋" w:eastAsia="仿宋" w:cs="仿宋"/>
          <w:b/>
          <w:bCs/>
          <w:snapToGrid/>
          <w:sz w:val="28"/>
          <w:szCs w:val="28"/>
          <w:u w:val="double"/>
          <w:lang w:val="zh-CN" w:bidi="zh-CN"/>
        </w:rPr>
        <w:t>本次债权申报截止日期为2023年2月20日(含当日)</w:t>
      </w:r>
      <w:r>
        <w:rPr>
          <w:rFonts w:hint="eastAsia" w:ascii="仿宋" w:hAnsi="仿宋" w:eastAsia="仿宋" w:cs="仿宋"/>
          <w:snapToGrid/>
          <w:sz w:val="28"/>
          <w:szCs w:val="28"/>
          <w:lang w:val="zh-CN" w:bidi="zh-CN"/>
        </w:rPr>
        <w:t>。为确保预重整相关工作的有序进行，请债权人在上述截止日期前完成债权申报。临时管理人接受申报时间为申报期限内工作日上午9时至12时，下午2时至6时。</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四、债权申报方式和申报地址</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鉴于国内新冠疫情风险仍未完全解除，同时考虑节省各位债权人债权申报成本，提高债权申报及审查效率，</w:t>
      </w:r>
      <w:r>
        <w:rPr>
          <w:rFonts w:hint="eastAsia" w:ascii="仿宋" w:hAnsi="仿宋" w:eastAsia="仿宋" w:cs="仿宋"/>
          <w:b/>
          <w:bCs/>
          <w:snapToGrid/>
          <w:sz w:val="28"/>
          <w:szCs w:val="28"/>
          <w:u w:val="double"/>
          <w:lang w:val="zh-CN" w:bidi="zh-CN"/>
        </w:rPr>
        <w:t>建议债权人优先以邮寄申报的形式向临时管理人申报债权</w:t>
      </w:r>
      <w:r>
        <w:rPr>
          <w:rFonts w:hint="eastAsia" w:ascii="仿宋" w:hAnsi="仿宋" w:eastAsia="仿宋" w:cs="仿宋"/>
          <w:snapToGrid/>
          <w:sz w:val="28"/>
          <w:szCs w:val="28"/>
          <w:lang w:val="zh-CN" w:bidi="zh-CN"/>
        </w:rPr>
        <w:t>，</w:t>
      </w:r>
      <w:r>
        <w:rPr>
          <w:rFonts w:hint="eastAsia" w:ascii="仿宋" w:hAnsi="仿宋" w:eastAsia="仿宋" w:cs="仿宋"/>
          <w:snapToGrid/>
          <w:sz w:val="28"/>
          <w:szCs w:val="28"/>
          <w:lang w:bidi="zh-CN"/>
        </w:rPr>
        <w:t>邮寄</w:t>
      </w:r>
      <w:r>
        <w:rPr>
          <w:rFonts w:hint="eastAsia" w:ascii="仿宋" w:hAnsi="仿宋" w:eastAsia="仿宋" w:cs="仿宋"/>
          <w:snapToGrid/>
          <w:sz w:val="28"/>
          <w:szCs w:val="28"/>
          <w:lang w:val="zh-CN" w:bidi="zh-CN"/>
        </w:rPr>
        <w:t>申报</w:t>
      </w:r>
      <w:r>
        <w:rPr>
          <w:rFonts w:hint="eastAsia" w:ascii="仿宋" w:hAnsi="仿宋" w:eastAsia="仿宋" w:cs="仿宋"/>
          <w:snapToGrid/>
          <w:sz w:val="28"/>
          <w:szCs w:val="28"/>
          <w:lang w:bidi="zh-CN"/>
        </w:rPr>
        <w:t>存在客观障碍</w:t>
      </w:r>
      <w:r>
        <w:rPr>
          <w:rFonts w:hint="eastAsia" w:ascii="仿宋" w:hAnsi="仿宋" w:eastAsia="仿宋" w:cs="仿宋"/>
          <w:snapToGrid/>
          <w:sz w:val="28"/>
          <w:szCs w:val="28"/>
          <w:lang w:val="zh-CN" w:bidi="zh-CN"/>
        </w:rPr>
        <w:t>的，可以</w:t>
      </w:r>
      <w:r>
        <w:rPr>
          <w:rFonts w:hint="eastAsia" w:ascii="仿宋" w:hAnsi="仿宋" w:eastAsia="仿宋" w:cs="仿宋"/>
          <w:snapToGrid/>
          <w:sz w:val="28"/>
          <w:szCs w:val="28"/>
          <w:lang w:bidi="zh-CN"/>
        </w:rPr>
        <w:t>采取</w:t>
      </w:r>
      <w:r>
        <w:rPr>
          <w:rFonts w:hint="eastAsia" w:ascii="仿宋" w:hAnsi="仿宋" w:eastAsia="仿宋" w:cs="仿宋"/>
          <w:snapToGrid/>
          <w:sz w:val="28"/>
          <w:szCs w:val="28"/>
          <w:lang w:val="zh-CN" w:bidi="zh-CN"/>
        </w:rPr>
        <w:t>现场递交材料的方式向临时管理人申报债权，以上申报方式具有同等法律效力。申报方式具体如下：</w:t>
      </w:r>
    </w:p>
    <w:p>
      <w:pPr>
        <w:widowControl w:val="0"/>
        <w:numPr>
          <w:ilvl w:val="0"/>
          <w:numId w:val="1"/>
        </w:numPr>
        <w:kinsoku/>
        <w:adjustRightInd/>
        <w:snapToGrid/>
        <w:spacing w:line="440" w:lineRule="exact"/>
        <w:ind w:firstLine="562" w:firstLineChars="200"/>
        <w:jc w:val="both"/>
        <w:textAlignment w:val="auto"/>
        <w:rPr>
          <w:rFonts w:ascii="仿宋" w:hAnsi="仿宋" w:eastAsia="仿宋" w:cs="仿宋"/>
          <w:b/>
          <w:bCs/>
          <w:snapToGrid/>
          <w:sz w:val="28"/>
          <w:szCs w:val="28"/>
          <w:lang w:bidi="zh-CN"/>
        </w:rPr>
      </w:pPr>
      <w:r>
        <w:rPr>
          <w:rFonts w:hint="eastAsia" w:ascii="仿宋" w:hAnsi="仿宋" w:eastAsia="仿宋" w:cs="仿宋"/>
          <w:b/>
          <w:bCs/>
          <w:snapToGrid/>
          <w:sz w:val="28"/>
          <w:szCs w:val="28"/>
          <w:lang w:bidi="zh-CN"/>
        </w:rPr>
        <w:t>邮寄申报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收件人及联系电话：吴律师17841104023、刘律师13538027552、魏律师18899859540（可选填）</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收件地址：广东省深圳市罗湖区深南东路2098号广田集团大厦（盛华大厦）16楼</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邮政编码：518001</w:t>
      </w:r>
    </w:p>
    <w:p>
      <w:pPr>
        <w:widowControl w:val="0"/>
        <w:numPr>
          <w:ilvl w:val="0"/>
          <w:numId w:val="1"/>
        </w:numPr>
        <w:kinsoku/>
        <w:adjustRightInd/>
        <w:snapToGrid/>
        <w:spacing w:line="440" w:lineRule="exact"/>
        <w:ind w:firstLine="562" w:firstLineChars="200"/>
        <w:jc w:val="both"/>
        <w:textAlignment w:val="auto"/>
        <w:rPr>
          <w:rFonts w:ascii="仿宋" w:hAnsi="仿宋" w:eastAsia="仿宋" w:cs="仿宋"/>
          <w:b/>
          <w:bCs/>
          <w:snapToGrid/>
          <w:sz w:val="28"/>
          <w:szCs w:val="28"/>
          <w:lang w:bidi="zh-CN"/>
        </w:rPr>
      </w:pPr>
      <w:r>
        <w:rPr>
          <w:rFonts w:hint="eastAsia" w:ascii="仿宋" w:hAnsi="仿宋" w:eastAsia="仿宋" w:cs="仿宋"/>
          <w:b/>
          <w:bCs/>
          <w:snapToGrid/>
          <w:sz w:val="28"/>
          <w:szCs w:val="28"/>
          <w:lang w:bidi="zh-CN"/>
        </w:rPr>
        <w:t>现场申报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联系人及联系电话：吴律师17841104023、刘律师13538027552、魏律师18899859540</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联系地址：广东省深圳市罗湖区深南东路2098号广田集团大厦（盛华大厦）16楼</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特别提示：</w:t>
      </w:r>
    </w:p>
    <w:p>
      <w:pPr>
        <w:widowControl w:val="0"/>
        <w:numPr>
          <w:ilvl w:val="0"/>
          <w:numId w:val="2"/>
        </w:numPr>
        <w:kinsoku/>
        <w:adjustRightInd/>
        <w:snapToGrid/>
        <w:spacing w:line="440" w:lineRule="exact"/>
        <w:ind w:firstLine="56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无论以何种形式申报，</w:t>
      </w:r>
      <w:r>
        <w:rPr>
          <w:rFonts w:hint="eastAsia" w:ascii="仿宋" w:hAnsi="仿宋" w:eastAsia="仿宋" w:cs="仿宋"/>
          <w:snapToGrid/>
          <w:sz w:val="28"/>
          <w:szCs w:val="28"/>
          <w:lang w:val="zh-CN" w:bidi="zh-CN"/>
        </w:rPr>
        <w:t>债权人</w:t>
      </w:r>
      <w:r>
        <w:rPr>
          <w:rFonts w:hint="eastAsia" w:ascii="仿宋" w:hAnsi="仿宋" w:eastAsia="仿宋" w:cs="仿宋"/>
          <w:snapToGrid/>
          <w:sz w:val="28"/>
          <w:szCs w:val="28"/>
          <w:lang w:bidi="zh-CN"/>
        </w:rPr>
        <w:t>均</w:t>
      </w:r>
      <w:r>
        <w:rPr>
          <w:rFonts w:hint="eastAsia" w:ascii="仿宋" w:hAnsi="仿宋" w:eastAsia="仿宋" w:cs="仿宋"/>
          <w:snapToGrid/>
          <w:sz w:val="28"/>
          <w:szCs w:val="28"/>
          <w:lang w:val="zh-CN" w:bidi="zh-CN"/>
        </w:rPr>
        <w:t>须在申报前将债权申报材料</w:t>
      </w:r>
      <w:r>
        <w:rPr>
          <w:rFonts w:hint="eastAsia" w:ascii="仿宋" w:hAnsi="仿宋" w:eastAsia="仿宋" w:cs="仿宋"/>
          <w:b/>
          <w:bCs/>
          <w:snapToGrid/>
          <w:sz w:val="28"/>
          <w:szCs w:val="28"/>
          <w:u w:val="double"/>
          <w:lang w:val="zh-CN" w:bidi="zh-CN"/>
        </w:rPr>
        <w:t>原件</w:t>
      </w:r>
      <w:r>
        <w:rPr>
          <w:rFonts w:hint="eastAsia" w:ascii="仿宋" w:hAnsi="仿宋" w:eastAsia="仿宋" w:cs="仿宋"/>
          <w:snapToGrid/>
          <w:sz w:val="28"/>
          <w:szCs w:val="28"/>
          <w:lang w:val="zh-CN" w:bidi="zh-CN"/>
        </w:rPr>
        <w:t>按照先后顺序彩色扫描为</w:t>
      </w:r>
      <w:r>
        <w:rPr>
          <w:rFonts w:hint="eastAsia" w:ascii="仿宋" w:hAnsi="仿宋" w:eastAsia="仿宋" w:cs="仿宋"/>
          <w:b/>
          <w:bCs/>
          <w:snapToGrid/>
          <w:sz w:val="28"/>
          <w:szCs w:val="28"/>
          <w:u w:val="double"/>
          <w:lang w:val="zh-CN" w:bidi="zh-CN"/>
        </w:rPr>
        <w:t>一个PDF文件</w:t>
      </w:r>
      <w:r>
        <w:rPr>
          <w:rFonts w:hint="eastAsia" w:ascii="仿宋" w:hAnsi="仿宋" w:eastAsia="仿宋" w:cs="仿宋"/>
          <w:snapToGrid/>
          <w:sz w:val="28"/>
          <w:szCs w:val="28"/>
          <w:lang w:val="zh-CN" w:bidi="zh-CN"/>
        </w:rPr>
        <w:t>（电子版债权申报材料应与实际提交材料文件内容保持一致，否则临时管理人将以实际提交的材料为准开展债权登记审查工作）后发送至临时管理人电子邮箱：gtgfglr@126.com，电子版债权申报材料文件以及邮件发送标题命名方式均为</w:t>
      </w:r>
      <w:r>
        <w:rPr>
          <w:rFonts w:hint="eastAsia" w:ascii="仿宋" w:hAnsi="仿宋" w:eastAsia="仿宋" w:cs="仿宋"/>
          <w:b/>
          <w:bCs/>
          <w:snapToGrid/>
          <w:sz w:val="28"/>
          <w:szCs w:val="28"/>
          <w:u w:val="double"/>
          <w:lang w:val="zh-CN" w:bidi="zh-CN"/>
        </w:rPr>
        <w:t>“广田集团-债权人名称-债权申报材料-债权申报日期”（例：广田集团-XX公司-债权申报材料-XXXX年XX月XX日）</w:t>
      </w:r>
      <w:r>
        <w:rPr>
          <w:rFonts w:hint="eastAsia" w:ascii="仿宋" w:hAnsi="仿宋" w:eastAsia="仿宋" w:cs="仿宋"/>
          <w:snapToGrid/>
          <w:sz w:val="28"/>
          <w:szCs w:val="28"/>
          <w:lang w:val="zh-CN" w:bidi="zh-CN"/>
        </w:rPr>
        <w:t>。如债权人仅将电子版债权申报材料发送至临时管理人邮箱，而未通过线下邮寄申报</w:t>
      </w:r>
      <w:r>
        <w:rPr>
          <w:rFonts w:hint="eastAsia" w:ascii="仿宋" w:hAnsi="仿宋" w:eastAsia="仿宋" w:cs="仿宋"/>
          <w:snapToGrid/>
          <w:sz w:val="28"/>
          <w:szCs w:val="28"/>
          <w:lang w:bidi="zh-CN"/>
        </w:rPr>
        <w:t>或现场</w:t>
      </w:r>
      <w:r>
        <w:rPr>
          <w:rFonts w:hint="eastAsia" w:ascii="仿宋" w:hAnsi="仿宋" w:eastAsia="仿宋" w:cs="仿宋"/>
          <w:snapToGrid/>
          <w:sz w:val="28"/>
          <w:szCs w:val="28"/>
          <w:lang w:val="zh-CN" w:bidi="zh-CN"/>
        </w:rPr>
        <w:t>申报方式</w:t>
      </w:r>
      <w:r>
        <w:rPr>
          <w:rFonts w:hint="eastAsia" w:ascii="仿宋" w:hAnsi="仿宋" w:eastAsia="仿宋" w:cs="仿宋"/>
          <w:snapToGrid/>
          <w:sz w:val="28"/>
          <w:szCs w:val="28"/>
          <w:lang w:bidi="zh-CN"/>
        </w:rPr>
        <w:t>申报</w:t>
      </w:r>
      <w:r>
        <w:rPr>
          <w:rFonts w:hint="eastAsia" w:ascii="仿宋" w:hAnsi="仿宋" w:eastAsia="仿宋" w:cs="仿宋"/>
          <w:snapToGrid/>
          <w:sz w:val="28"/>
          <w:szCs w:val="28"/>
          <w:lang w:val="zh-CN" w:bidi="zh-CN"/>
        </w:rPr>
        <w:t>债权的，视为未向临时管理人申报该笔债权。</w:t>
      </w:r>
    </w:p>
    <w:p>
      <w:pPr>
        <w:widowControl w:val="0"/>
        <w:numPr>
          <w:ilvl w:val="0"/>
          <w:numId w:val="2"/>
        </w:numPr>
        <w:kinsoku/>
        <w:adjustRightInd/>
        <w:snapToGrid/>
        <w:spacing w:line="440" w:lineRule="exact"/>
        <w:ind w:firstLine="56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债权人邮寄申报的，请在邮寄单或者邮寄登记信息上注明“</w:t>
      </w:r>
      <w:r>
        <w:rPr>
          <w:rFonts w:hint="eastAsia" w:ascii="仿宋" w:hAnsi="仿宋" w:eastAsia="仿宋" w:cs="仿宋"/>
          <w:snapToGrid/>
          <w:sz w:val="28"/>
          <w:szCs w:val="28"/>
          <w:lang w:val="zh-CN" w:bidi="zh-CN"/>
        </w:rPr>
        <w:t>广田集团</w:t>
      </w:r>
      <w:r>
        <w:rPr>
          <w:rFonts w:hint="eastAsia" w:ascii="仿宋" w:hAnsi="仿宋" w:eastAsia="仿宋" w:cs="仿宋"/>
          <w:snapToGrid/>
          <w:sz w:val="28"/>
          <w:szCs w:val="28"/>
          <w:lang w:bidi="zh-CN"/>
        </w:rPr>
        <w:t>预重整债权申报”字样，并保留邮件寄送底单、邮寄登记信息。债权人以邮寄方式申报债权的，应自行承担邮寄费用，临时管理人不接受以到付方式邮寄的债权申报。邮寄申报的，临时管理人实际签收邮件后方为债权申报材料妥投，请债权人在邮寄后及时与临时管理人联系确认邮件妥投情况。</w:t>
      </w:r>
    </w:p>
    <w:p>
      <w:pPr>
        <w:widowControl w:val="0"/>
        <w:kinsoku/>
        <w:adjustRightInd/>
        <w:snapToGrid/>
        <w:spacing w:line="440" w:lineRule="exact"/>
        <w:ind w:left="420" w:leftChars="200"/>
        <w:jc w:val="both"/>
        <w:textAlignment w:val="auto"/>
        <w:rPr>
          <w:rFonts w:ascii="仿宋" w:hAnsi="仿宋" w:eastAsia="仿宋" w:cs="仿宋"/>
          <w:snapToGrid/>
          <w:sz w:val="28"/>
          <w:szCs w:val="28"/>
          <w:lang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五、债权人应提交的材料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债权人须提交如下三类申报材料，并请</w:t>
      </w:r>
      <w:r>
        <w:rPr>
          <w:rFonts w:hint="eastAsia" w:ascii="仿宋" w:hAnsi="仿宋" w:eastAsia="仿宋" w:cs="仿宋"/>
          <w:b/>
          <w:bCs/>
          <w:snapToGrid/>
          <w:sz w:val="28"/>
          <w:szCs w:val="28"/>
          <w:u w:val="double"/>
          <w:lang w:val="zh-CN" w:bidi="zh-CN"/>
        </w:rPr>
        <w:t>按照临时管理人提供的附件范本填写</w:t>
      </w:r>
      <w:r>
        <w:rPr>
          <w:rFonts w:hint="eastAsia" w:ascii="仿宋" w:hAnsi="仿宋" w:eastAsia="仿宋" w:cs="仿宋"/>
          <w:snapToGrid/>
          <w:sz w:val="28"/>
          <w:szCs w:val="28"/>
          <w:lang w:val="zh-CN" w:bidi="zh-CN"/>
        </w:rPr>
        <w:t>。</w:t>
      </w:r>
      <w:r>
        <w:rPr>
          <w:rFonts w:hint="eastAsia" w:ascii="仿宋" w:hAnsi="仿宋" w:eastAsia="仿宋" w:cs="仿宋"/>
          <w:b/>
          <w:bCs/>
          <w:snapToGrid/>
          <w:sz w:val="28"/>
          <w:szCs w:val="28"/>
          <w:u w:val="double"/>
          <w:lang w:val="zh-CN" w:bidi="zh-CN"/>
        </w:rPr>
        <w:t>各类材料一式贰份</w:t>
      </w:r>
      <w:r>
        <w:rPr>
          <w:rFonts w:hint="eastAsia" w:ascii="仿宋" w:hAnsi="仿宋" w:eastAsia="仿宋" w:cs="仿宋"/>
          <w:snapToGrid/>
          <w:sz w:val="28"/>
          <w:szCs w:val="28"/>
          <w:lang w:val="zh-CN" w:bidi="zh-CN"/>
        </w:rPr>
        <w:t>，均需统一为A4纸尺寸，按照顺序排列装订成</w:t>
      </w:r>
      <w:r>
        <w:rPr>
          <w:rFonts w:hint="eastAsia" w:ascii="仿宋" w:hAnsi="仿宋" w:eastAsia="仿宋" w:cs="仿宋"/>
          <w:b/>
          <w:bCs/>
          <w:snapToGrid/>
          <w:sz w:val="28"/>
          <w:szCs w:val="28"/>
          <w:u w:val="double"/>
          <w:lang w:val="zh-CN" w:bidi="zh-CN"/>
        </w:rPr>
        <w:t>完全相同的两册</w:t>
      </w:r>
      <w:r>
        <w:rPr>
          <w:rFonts w:hint="eastAsia" w:ascii="仿宋" w:hAnsi="仿宋" w:eastAsia="仿宋" w:cs="仿宋"/>
          <w:snapToGrid/>
          <w:sz w:val="28"/>
          <w:szCs w:val="28"/>
          <w:lang w:val="zh-CN" w:bidi="zh-CN"/>
        </w:rPr>
        <w:t>，并加盖骑缝章：</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（一）《债权申报及参会信息确认表》《债权申报材料目录》《债权申报书》《诚信债权申报承诺书》</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（请按照提供的附件范本填写，可加页）</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1.《债权申报及参会信息确认表》原件。请填写债权申报人的基本信息、联系方式、送达地址、申报债权金额、是否存在担保以及诉讼、仲裁等情况。“申报日期”为申报人实际</w:t>
      </w:r>
      <w:r>
        <w:rPr>
          <w:rFonts w:hint="eastAsia" w:ascii="仿宋" w:hAnsi="仿宋" w:eastAsia="仿宋" w:cs="仿宋"/>
          <w:snapToGrid/>
          <w:sz w:val="28"/>
          <w:szCs w:val="28"/>
          <w:lang w:bidi="zh-CN"/>
        </w:rPr>
        <w:t>交付寄出或现场递交</w:t>
      </w:r>
      <w:r>
        <w:rPr>
          <w:rFonts w:hint="eastAsia" w:ascii="仿宋" w:hAnsi="仿宋" w:eastAsia="仿宋" w:cs="仿宋"/>
          <w:snapToGrid/>
          <w:sz w:val="28"/>
          <w:szCs w:val="28"/>
          <w:lang w:val="zh-CN" w:bidi="zh-CN"/>
        </w:rPr>
        <w:t>日期。该表中首部的“申报编号”由临时管理人填写，债权人无需填写。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2《债权申报材料目录》原件。请按</w:t>
      </w:r>
      <w:r>
        <w:rPr>
          <w:rFonts w:hint="eastAsia" w:ascii="仿宋" w:hAnsi="仿宋" w:eastAsia="仿宋" w:cs="仿宋"/>
          <w:snapToGrid/>
          <w:sz w:val="28"/>
          <w:szCs w:val="28"/>
          <w:lang w:bidi="zh-CN"/>
        </w:rPr>
        <w:t>顺序</w:t>
      </w:r>
      <w:r>
        <w:rPr>
          <w:rFonts w:hint="eastAsia" w:ascii="仿宋" w:hAnsi="仿宋" w:eastAsia="仿宋" w:cs="仿宋"/>
          <w:snapToGrid/>
          <w:sz w:val="28"/>
          <w:szCs w:val="28"/>
          <w:lang w:val="zh-CN" w:bidi="zh-CN"/>
        </w:rPr>
        <w:t>填写提交的书面材料名称，并注明每份书面材料份数、页码、是否原件等。</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3.《债权申报书》原件。请具体写明债权构成（包括每部分费用类型及具体金额）、利息计算方式（</w:t>
      </w:r>
      <w:r>
        <w:rPr>
          <w:rFonts w:hint="eastAsia" w:ascii="仿宋" w:hAnsi="仿宋" w:eastAsia="仿宋" w:cs="仿宋"/>
          <w:b/>
          <w:bCs/>
          <w:snapToGrid/>
          <w:sz w:val="28"/>
          <w:szCs w:val="28"/>
          <w:u w:val="double"/>
          <w:lang w:val="zh-CN" w:bidi="zh-CN"/>
        </w:rPr>
        <w:t>如有，应附利息计算表，列明详细计算过程</w:t>
      </w:r>
      <w:r>
        <w:rPr>
          <w:rFonts w:hint="eastAsia" w:ascii="仿宋" w:hAnsi="仿宋" w:eastAsia="仿宋" w:cs="仿宋"/>
          <w:snapToGrid/>
          <w:sz w:val="28"/>
          <w:szCs w:val="28"/>
          <w:lang w:val="zh-CN" w:bidi="zh-CN"/>
        </w:rPr>
        <w:t>）、债权性质、债权形成的基础事实、债权是否有第三方提供担保、债权是否已获得清偿等情况。请切记在《债权申报书》上</w:t>
      </w:r>
      <w:r>
        <w:rPr>
          <w:rFonts w:hint="eastAsia" w:ascii="仿宋" w:hAnsi="仿宋" w:eastAsia="仿宋" w:cs="仿宋"/>
          <w:b/>
          <w:bCs/>
          <w:snapToGrid/>
          <w:sz w:val="28"/>
          <w:szCs w:val="28"/>
          <w:u w:val="double"/>
          <w:lang w:val="zh-CN" w:bidi="zh-CN"/>
        </w:rPr>
        <w:t>勾选申报债权性质</w:t>
      </w:r>
      <w:r>
        <w:rPr>
          <w:rFonts w:hint="eastAsia" w:ascii="仿宋" w:hAnsi="仿宋" w:eastAsia="仿宋" w:cs="仿宋"/>
          <w:snapToGrid/>
          <w:sz w:val="28"/>
          <w:szCs w:val="28"/>
          <w:lang w:val="zh-CN" w:bidi="zh-CN"/>
        </w:rPr>
        <w:t>。</w:t>
      </w:r>
    </w:p>
    <w:p>
      <w:pPr>
        <w:widowControl w:val="0"/>
        <w:kinsoku/>
        <w:adjustRightInd/>
        <w:snapToGrid/>
        <w:spacing w:line="440" w:lineRule="exact"/>
        <w:ind w:firstLine="560" w:firstLineChars="200"/>
        <w:jc w:val="both"/>
        <w:textAlignment w:val="auto"/>
        <w:rPr>
          <w:rFonts w:ascii="仿宋" w:hAnsi="仿宋" w:eastAsia="仿宋" w:cs="仿宋"/>
          <w:b/>
          <w:bCs/>
          <w:snapToGrid/>
          <w:sz w:val="28"/>
          <w:szCs w:val="28"/>
          <w:u w:val="double"/>
          <w:lang w:val="zh-CN" w:bidi="zh-CN"/>
        </w:rPr>
      </w:pPr>
      <w:r>
        <w:rPr>
          <w:rFonts w:hint="eastAsia" w:ascii="仿宋" w:hAnsi="仿宋" w:eastAsia="仿宋" w:cs="仿宋"/>
          <w:snapToGrid/>
          <w:sz w:val="28"/>
          <w:szCs w:val="28"/>
          <w:lang w:val="zh-CN" w:bidi="zh-CN"/>
        </w:rPr>
        <w:t>注：填写完成后请仔细检查，</w:t>
      </w:r>
      <w:r>
        <w:rPr>
          <w:rFonts w:hint="eastAsia" w:ascii="仿宋" w:hAnsi="仿宋" w:eastAsia="仿宋" w:cs="仿宋"/>
          <w:b/>
          <w:bCs/>
          <w:snapToGrid/>
          <w:sz w:val="28"/>
          <w:szCs w:val="28"/>
          <w:u w:val="double"/>
          <w:lang w:val="zh-CN" w:bidi="zh-CN"/>
        </w:rPr>
        <w:t>确保《债权申报书》中的申报债权总金额等于《债权申报书》中各项目金额之和，且与《债权申报及参会信息确认表》中的债权申报总金额一致，并等于表中填写的本金、利息及其他金额之和。</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4.《债权申报及参会信息确认表》《债权申报材料目录》《债权申报书》记载的信息应当保持一致。</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5.《诚信债权申报承诺书》原件。为保证债权申报工作的严肃性，</w:t>
      </w:r>
    </w:p>
    <w:p>
      <w:pPr>
        <w:widowControl w:val="0"/>
        <w:kinsoku/>
        <w:adjustRightInd/>
        <w:snapToGrid/>
        <w:spacing w:line="440" w:lineRule="exact"/>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请各位债权人提交书面的《诚信债权申报承诺书》，承诺提交的全部材料真实、准确、合法、有效，承诺所有复印件已与原件核对无异，否则由此导致的一切法律后果自行承担。</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6.机构债权人应在《债权申报及参会信息确认表》《债权申报材料目录》《债权申报书》及《诚信债权申报承诺书》上加盖债权人公章；自然人债权人应由本人签字并按捺手印；有委托代理人的，代理人应</w:t>
      </w:r>
      <w:r>
        <w:rPr>
          <w:rFonts w:hint="eastAsia" w:ascii="仿宋" w:hAnsi="仿宋" w:eastAsia="仿宋" w:cs="仿宋"/>
          <w:snapToGrid/>
          <w:sz w:val="28"/>
          <w:szCs w:val="28"/>
          <w:lang w:bidi="zh-CN"/>
        </w:rPr>
        <w:t>同时</w:t>
      </w:r>
      <w:r>
        <w:rPr>
          <w:rFonts w:hint="eastAsia" w:ascii="仿宋" w:hAnsi="仿宋" w:eastAsia="仿宋" w:cs="仿宋"/>
          <w:snapToGrid/>
          <w:sz w:val="28"/>
          <w:szCs w:val="28"/>
          <w:lang w:val="zh-CN" w:bidi="zh-CN"/>
        </w:rPr>
        <w:t>在《债权申报及参会信息确认表》《债权申报材料目录》及《债权申报书》上对应位置签字。如未加盖公章或签字捺印，临时管理人将不予受理债权申报。</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（二）债权人主体资格证明材料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1.债权人为</w:t>
      </w:r>
      <w:r>
        <w:rPr>
          <w:rFonts w:hint="eastAsia" w:ascii="仿宋" w:hAnsi="仿宋" w:eastAsia="仿宋" w:cs="仿宋"/>
          <w:b/>
          <w:bCs/>
          <w:snapToGrid/>
          <w:sz w:val="28"/>
          <w:szCs w:val="28"/>
          <w:lang w:val="zh-CN" w:bidi="zh-CN"/>
        </w:rPr>
        <w:t>机构</w:t>
      </w:r>
      <w:r>
        <w:rPr>
          <w:rFonts w:hint="eastAsia" w:ascii="仿宋" w:hAnsi="仿宋" w:eastAsia="仿宋" w:cs="仿宋"/>
          <w:snapToGrid/>
          <w:sz w:val="28"/>
          <w:szCs w:val="28"/>
          <w:lang w:val="zh-CN" w:bidi="zh-CN"/>
        </w:rPr>
        <w:t>的，应提供如下主体资格证明材料：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（1）有效的营业执照（</w:t>
      </w:r>
      <w:r>
        <w:rPr>
          <w:rFonts w:hint="eastAsia" w:ascii="仿宋" w:hAnsi="仿宋" w:eastAsia="仿宋" w:cs="仿宋"/>
          <w:snapToGrid/>
          <w:sz w:val="28"/>
          <w:szCs w:val="28"/>
          <w:lang w:bidi="zh-CN"/>
        </w:rPr>
        <w:t>统一社会信用代码证书</w:t>
      </w:r>
      <w:r>
        <w:rPr>
          <w:rFonts w:hint="eastAsia" w:ascii="仿宋" w:hAnsi="仿宋" w:eastAsia="仿宋" w:cs="仿宋"/>
          <w:snapToGrid/>
          <w:sz w:val="28"/>
          <w:szCs w:val="28"/>
          <w:lang w:val="zh-CN" w:bidi="zh-CN"/>
        </w:rPr>
        <w:t>）、事业和社团法人登记证书或其他合法证明书复印件（</w:t>
      </w:r>
      <w:r>
        <w:rPr>
          <w:rFonts w:hint="eastAsia" w:ascii="仿宋" w:hAnsi="仿宋" w:eastAsia="仿宋" w:cs="仿宋"/>
          <w:snapToGrid/>
          <w:sz w:val="28"/>
          <w:szCs w:val="28"/>
          <w:lang w:bidi="zh-CN"/>
        </w:rPr>
        <w:t>根据临时管理人要求提供原件予以核对</w:t>
      </w:r>
      <w:r>
        <w:rPr>
          <w:rFonts w:hint="eastAsia" w:ascii="仿宋" w:hAnsi="仿宋" w:eastAsia="仿宋" w:cs="仿宋"/>
          <w:snapToGrid/>
          <w:sz w:val="28"/>
          <w:szCs w:val="28"/>
          <w:lang w:val="zh-CN" w:bidi="zh-CN"/>
        </w:rPr>
        <w:t>）。如机构债权人为金融机构，应当提供中国银行保险监督管理委员会官方颁发的《金融许可证》复印件。前述复印件需加盖公章。</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（2）法定代表人（负责人）身份证明书（请参照附件范本）原件。前述原件须加盖公章。</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（3）法定代表人（负责人）身份证等个人有效证件复印件（根据临时管理人要求提供原件予以核对）。前述复印件须加盖公章。</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4）如发生单位名称变更或法定代表人变更的，应当提交由市场监督管理机构出具的变更证明文件复印件。需要注意的是，注销/吊销后重新注册的机构债权人不视为名称变更，机构债权人应提交两家机构之间债权转让或承继的相关证明材料复印件。前述复印件须加盖公章。</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2.债权人为</w:t>
      </w:r>
      <w:r>
        <w:rPr>
          <w:rFonts w:hint="eastAsia" w:ascii="仿宋" w:hAnsi="仿宋" w:eastAsia="仿宋" w:cs="仿宋"/>
          <w:b/>
          <w:bCs/>
          <w:snapToGrid/>
          <w:sz w:val="28"/>
          <w:szCs w:val="28"/>
          <w:lang w:val="zh-CN" w:bidi="zh-CN"/>
        </w:rPr>
        <w:t>自然人</w:t>
      </w:r>
      <w:r>
        <w:rPr>
          <w:rFonts w:hint="eastAsia" w:ascii="仿宋" w:hAnsi="仿宋" w:eastAsia="仿宋" w:cs="仿宋"/>
          <w:snapToGrid/>
          <w:sz w:val="28"/>
          <w:szCs w:val="28"/>
          <w:lang w:val="zh-CN" w:bidi="zh-CN"/>
        </w:rPr>
        <w:t>的，应提供如下主体资格证明材料：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债权人身份证等个人有效证件复印件（根据临时管理人要求提供原件予以核对）。前述复印件须签字并按捺手印。</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bidi="zh-CN"/>
        </w:rPr>
      </w:pPr>
      <w:r>
        <w:rPr>
          <w:rFonts w:hint="eastAsia" w:ascii="仿宋" w:hAnsi="仿宋" w:eastAsia="仿宋" w:cs="仿宋"/>
          <w:snapToGrid/>
          <w:sz w:val="28"/>
          <w:szCs w:val="28"/>
          <w:lang w:bidi="zh-CN"/>
        </w:rPr>
        <w:t>3.债券持有人直接申报债权的，除提供上述身份证明外，还应提供由债券登记机关（中国证券登记结算有限责任公司、中央国债登记结算有限责任公司、银行间市场清算所股份有限公司等）出具的证券账户开立证明文件，如《证券账户开户办理确认单》。债券受托管理人可根据债券募集文件或者债券持有人会议决议的授权，代表债券持有人统一申报债权。申报时应提交记载授权事项的募集文件或债券持有人会议授权决议。</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bidi="zh-CN"/>
        </w:rPr>
        <w:t>4</w:t>
      </w:r>
      <w:r>
        <w:rPr>
          <w:rFonts w:hint="eastAsia" w:ascii="仿宋" w:hAnsi="仿宋" w:eastAsia="仿宋" w:cs="仿宋"/>
          <w:snapToGrid/>
          <w:sz w:val="28"/>
          <w:szCs w:val="28"/>
          <w:lang w:val="zh-CN" w:bidi="zh-CN"/>
        </w:rPr>
        <w:t>.债权人</w:t>
      </w:r>
      <w:r>
        <w:rPr>
          <w:rFonts w:hint="eastAsia" w:ascii="仿宋" w:hAnsi="仿宋" w:eastAsia="仿宋" w:cs="仿宋"/>
          <w:b/>
          <w:bCs/>
          <w:snapToGrid/>
          <w:sz w:val="28"/>
          <w:szCs w:val="28"/>
          <w:lang w:val="zh-CN" w:bidi="zh-CN"/>
        </w:rPr>
        <w:t>委托他人</w:t>
      </w:r>
      <w:r>
        <w:rPr>
          <w:rFonts w:hint="eastAsia" w:ascii="仿宋" w:hAnsi="仿宋" w:eastAsia="仿宋" w:cs="仿宋"/>
          <w:snapToGrid/>
          <w:sz w:val="28"/>
          <w:szCs w:val="28"/>
          <w:lang w:val="zh-CN" w:bidi="zh-CN"/>
        </w:rPr>
        <w:t>申报债权的，还须在上述材料的基础上提交如下授权委托材料：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（1）授权委托书（请参照附件范本）原件。前述原件须由机构债权人签章；如是自然人债权人的，前述原件须由</w:t>
      </w:r>
      <w:r>
        <w:rPr>
          <w:rFonts w:hint="eastAsia" w:ascii="仿宋" w:hAnsi="仿宋" w:eastAsia="仿宋" w:cs="仿宋"/>
          <w:snapToGrid/>
          <w:sz w:val="28"/>
          <w:szCs w:val="28"/>
          <w:lang w:bidi="zh-CN"/>
        </w:rPr>
        <w:t>自然人</w:t>
      </w:r>
      <w:r>
        <w:rPr>
          <w:rFonts w:hint="eastAsia" w:ascii="仿宋" w:hAnsi="仿宋" w:eastAsia="仿宋" w:cs="仿宋"/>
          <w:snapToGrid/>
          <w:sz w:val="28"/>
          <w:szCs w:val="28"/>
          <w:lang w:val="zh-CN" w:bidi="zh-CN"/>
        </w:rPr>
        <w:t>债权人签字并按捺手印。</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（2）委托代理人的身份证等个人有效证件复印件（根据临时管理人要求提供原件予以核对）。前述复印件须由委托代理人签字。</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3）如委托代理人为律师的，请提交律师证复印件（根据临时管理人要求提供原件予以核对）、《律师事务所指派函》原件。律师证复印件须委托代理人签字，《律师事务所指派函》原件须加盖律师事务所公章。</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（三）证明债权成立及债权金额、性质的材料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债权人申报债权应提交能够证明债权成立及其金额的全部证据材料，包括但不限于：</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1.相关合同（包括但不限于借/贷款合同、购/销货合同等）。</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2.相关票据、划账单、对账单、提货单等合同履行凭证。</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3.债权如有担保的，须提交与债权相对应的抵押合同、质押合同、保证合同，担保物清单，以及相关的抵、质押登记证明等，如债权系广田集团对外提供担保的，须提交广田集团批准对外担保的公司决议，如股东大会决议、董事会决议等。</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4.债权如涉及诉讼或仲裁，须提交诉讼、仲裁有关的文件（包括起诉状或仲裁申请书、生效判决书或裁决书、财产保全申请书及裁定书、财产执行申请书及裁定书等）。法院出具的生效法律文书应</w:t>
      </w:r>
      <w:r>
        <w:rPr>
          <w:rFonts w:hint="eastAsia" w:ascii="仿宋" w:hAnsi="仿宋" w:eastAsia="仿宋" w:cs="仿宋"/>
          <w:b/>
          <w:bCs/>
          <w:snapToGrid/>
          <w:sz w:val="28"/>
          <w:szCs w:val="28"/>
          <w:u w:val="double"/>
          <w:lang w:val="zh-CN" w:bidi="zh-CN"/>
        </w:rPr>
        <w:t>加盖法律文书生效章</w:t>
      </w:r>
      <w:r>
        <w:rPr>
          <w:rFonts w:hint="eastAsia" w:ascii="仿宋" w:hAnsi="仿宋" w:eastAsia="仿宋" w:cs="仿宋"/>
          <w:snapToGrid/>
          <w:sz w:val="28"/>
          <w:szCs w:val="28"/>
          <w:lang w:val="zh-CN" w:bidi="zh-CN"/>
        </w:rPr>
        <w:t>，如果经过多级法院审理，各级法院的法律文书皆须提供；仲裁机关出具的生效法律文书应附上</w:t>
      </w:r>
      <w:r>
        <w:rPr>
          <w:rFonts w:hint="eastAsia" w:ascii="仿宋" w:hAnsi="仿宋" w:eastAsia="仿宋" w:cs="仿宋"/>
          <w:b/>
          <w:bCs/>
          <w:snapToGrid/>
          <w:sz w:val="28"/>
          <w:szCs w:val="28"/>
          <w:u w:val="double"/>
          <w:lang w:val="zh-CN" w:bidi="zh-CN"/>
        </w:rPr>
        <w:t>仲裁机关关于法律文书已经生效的函件或双方当事人已签收的送达回执以及证据材料。</w:t>
      </w:r>
      <w:r>
        <w:rPr>
          <w:rFonts w:hint="eastAsia" w:ascii="仿宋" w:hAnsi="仿宋" w:eastAsia="仿宋" w:cs="仿宋"/>
          <w:snapToGrid/>
          <w:sz w:val="28"/>
          <w:szCs w:val="28"/>
          <w:lang w:val="zh-CN" w:bidi="zh-CN"/>
        </w:rPr>
        <w:t>如已申请人民法院强制执行的，还须提交</w:t>
      </w:r>
      <w:r>
        <w:rPr>
          <w:rFonts w:hint="eastAsia" w:ascii="仿宋" w:hAnsi="仿宋" w:eastAsia="仿宋" w:cs="仿宋"/>
          <w:b/>
          <w:bCs/>
          <w:snapToGrid/>
          <w:sz w:val="28"/>
          <w:szCs w:val="28"/>
          <w:u w:val="double"/>
          <w:lang w:val="zh-CN" w:bidi="zh-CN"/>
        </w:rPr>
        <w:t>执行清偿情况的说明</w:t>
      </w:r>
      <w:r>
        <w:rPr>
          <w:rFonts w:hint="eastAsia" w:ascii="仿宋" w:hAnsi="仿宋" w:eastAsia="仿宋" w:cs="仿宋"/>
          <w:snapToGrid/>
          <w:sz w:val="28"/>
          <w:szCs w:val="28"/>
          <w:lang w:val="zh-CN" w:bidi="zh-CN"/>
        </w:rPr>
        <w:t>。</w:t>
      </w:r>
    </w:p>
    <w:p>
      <w:pPr>
        <w:widowControl w:val="0"/>
        <w:kinsoku/>
        <w:adjustRightInd/>
        <w:snapToGrid/>
        <w:spacing w:line="440" w:lineRule="exact"/>
        <w:ind w:firstLine="560" w:firstLineChars="200"/>
        <w:jc w:val="both"/>
        <w:textAlignment w:val="auto"/>
        <w:rPr>
          <w:rFonts w:ascii="仿宋" w:hAnsi="仿宋" w:eastAsia="仿宋" w:cs="仿宋"/>
          <w:b/>
          <w:bCs/>
          <w:snapToGrid/>
          <w:sz w:val="28"/>
          <w:szCs w:val="28"/>
          <w:u w:val="double"/>
          <w:lang w:val="zh-CN" w:bidi="zh-CN"/>
        </w:rPr>
      </w:pPr>
      <w:r>
        <w:rPr>
          <w:rFonts w:hint="eastAsia" w:ascii="仿宋" w:hAnsi="仿宋" w:eastAsia="仿宋" w:cs="仿宋"/>
          <w:snapToGrid/>
          <w:sz w:val="28"/>
          <w:szCs w:val="28"/>
          <w:lang w:val="zh-CN" w:bidi="zh-CN"/>
        </w:rPr>
        <w:t>5.债权如涉及利息计算的，债权人提交的《债权申报书》应当载明利息计算标准并另行提供利息计算表，</w:t>
      </w:r>
      <w:r>
        <w:rPr>
          <w:rFonts w:hint="eastAsia" w:ascii="仿宋" w:hAnsi="仿宋" w:eastAsia="仿宋" w:cs="仿宋"/>
          <w:b/>
          <w:bCs/>
          <w:snapToGrid/>
          <w:sz w:val="28"/>
          <w:szCs w:val="28"/>
          <w:u w:val="double"/>
          <w:lang w:val="zh-CN" w:bidi="zh-CN"/>
        </w:rPr>
        <w:t>说明利息的计算依据（应当明确指出合同约定利息或违约金涉及到的具体条款或法律文书涉及到的具体判项）、计算方法和计算结果，利息暂计至深圳中院决定启</w:t>
      </w:r>
    </w:p>
    <w:p>
      <w:pPr>
        <w:widowControl w:val="0"/>
        <w:kinsoku/>
        <w:adjustRightInd/>
        <w:snapToGrid/>
        <w:spacing w:line="440" w:lineRule="exact"/>
        <w:jc w:val="both"/>
        <w:textAlignment w:val="auto"/>
        <w:rPr>
          <w:rFonts w:ascii="仿宋" w:hAnsi="仿宋" w:eastAsia="仿宋" w:cs="仿宋"/>
          <w:snapToGrid/>
          <w:sz w:val="28"/>
          <w:szCs w:val="28"/>
          <w:lang w:val="zh-CN" w:bidi="zh-CN"/>
        </w:rPr>
      </w:pPr>
      <w:r>
        <w:rPr>
          <w:rFonts w:hint="eastAsia" w:ascii="仿宋" w:hAnsi="仿宋" w:eastAsia="仿宋" w:cs="仿宋"/>
          <w:b/>
          <w:bCs/>
          <w:snapToGrid/>
          <w:sz w:val="28"/>
          <w:szCs w:val="28"/>
          <w:u w:val="double"/>
          <w:lang w:val="zh-CN" w:bidi="zh-CN"/>
        </w:rPr>
        <w:t>动预重整之日（</w:t>
      </w:r>
      <w:r>
        <w:rPr>
          <w:rFonts w:hint="eastAsia" w:ascii="仿宋" w:hAnsi="仿宋" w:eastAsia="仿宋" w:cs="仿宋"/>
          <w:b/>
          <w:bCs/>
          <w:snapToGrid/>
          <w:sz w:val="28"/>
          <w:szCs w:val="28"/>
          <w:u w:val="double"/>
          <w:lang w:bidi="zh-CN"/>
        </w:rPr>
        <w:t>2023</w:t>
      </w:r>
      <w:r>
        <w:rPr>
          <w:rFonts w:hint="eastAsia" w:ascii="仿宋" w:hAnsi="仿宋" w:eastAsia="仿宋" w:cs="仿宋"/>
          <w:b/>
          <w:bCs/>
          <w:snapToGrid/>
          <w:sz w:val="28"/>
          <w:szCs w:val="28"/>
          <w:u w:val="double"/>
          <w:lang w:val="zh-CN" w:bidi="zh-CN"/>
        </w:rPr>
        <w:t>年</w:t>
      </w:r>
      <w:r>
        <w:rPr>
          <w:rFonts w:hint="eastAsia" w:ascii="仿宋" w:hAnsi="仿宋" w:eastAsia="仿宋" w:cs="仿宋"/>
          <w:b/>
          <w:bCs/>
          <w:snapToGrid/>
          <w:sz w:val="28"/>
          <w:szCs w:val="28"/>
          <w:u w:val="double"/>
          <w:lang w:bidi="zh-CN"/>
        </w:rPr>
        <w:t>1</w:t>
      </w:r>
      <w:r>
        <w:rPr>
          <w:rFonts w:hint="eastAsia" w:ascii="仿宋" w:hAnsi="仿宋" w:eastAsia="仿宋" w:cs="仿宋"/>
          <w:b/>
          <w:bCs/>
          <w:snapToGrid/>
          <w:sz w:val="28"/>
          <w:szCs w:val="28"/>
          <w:u w:val="double"/>
          <w:lang w:val="zh-CN" w:bidi="zh-CN"/>
        </w:rPr>
        <w:t>月</w:t>
      </w:r>
      <w:r>
        <w:rPr>
          <w:rFonts w:hint="eastAsia" w:ascii="仿宋" w:hAnsi="仿宋" w:eastAsia="仿宋" w:cs="仿宋"/>
          <w:b/>
          <w:bCs/>
          <w:snapToGrid/>
          <w:sz w:val="28"/>
          <w:szCs w:val="28"/>
          <w:u w:val="double"/>
          <w:lang w:bidi="zh-CN"/>
        </w:rPr>
        <w:t>5</w:t>
      </w:r>
      <w:r>
        <w:rPr>
          <w:rFonts w:hint="eastAsia" w:ascii="仿宋" w:hAnsi="仿宋" w:eastAsia="仿宋" w:cs="仿宋"/>
          <w:b/>
          <w:bCs/>
          <w:snapToGrid/>
          <w:sz w:val="28"/>
          <w:szCs w:val="28"/>
          <w:u w:val="double"/>
          <w:lang w:val="zh-CN" w:bidi="zh-CN"/>
        </w:rPr>
        <w:t>日）</w:t>
      </w:r>
      <w:r>
        <w:rPr>
          <w:rFonts w:hint="eastAsia" w:ascii="仿宋" w:hAnsi="仿宋" w:eastAsia="仿宋" w:cs="仿宋"/>
          <w:snapToGrid/>
          <w:sz w:val="28"/>
          <w:szCs w:val="28"/>
          <w:lang w:val="zh-CN" w:bidi="zh-CN"/>
        </w:rPr>
        <w:t>，同时将正常利息与罚息、迟延利息、滞纳金等分开计算、列示。</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6.若债权人申报的债权涉及材料款或工程款的，应另行提供债权形成明细表，说明工程项目名称、送货金额、送货日期、已付款的金额、付款的日期、尚欠工程款金额，并提供相应的工程项目合同、送货单、结算资料以及收款凭证等证据材料以供佐证。</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7.若债权人申报的债权涉及商业汇票的，应另行提供商业汇票产生或流转的基础合同、纸质商业汇票的原件或两份复印件或电子商业汇票的银行系统打印件，如涉及被追索的，还应当提供已经清偿后手票据债务的相关证据。</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8.若债权人申报的债权涉及保理业务的，应另行提供基础合同、保理合同、保理业务申请书、应收账款转让通知、应收账款转让明细或其他可证明保理业务的材料。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9.相关公证文书（如有）。</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10.债权如有清偿、豁免、抵销、被执行或其他抵债情形的，须如实提供偿债凭证、协议、执行裁定书等材料。如该等偿债或以物抵债是由法院裁定认可的，须同时提交裁定书。</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u w:val="double"/>
          <w:lang w:val="zh-CN" w:bidi="zh-CN"/>
        </w:rPr>
      </w:pPr>
      <w:r>
        <w:rPr>
          <w:rFonts w:hint="eastAsia" w:ascii="仿宋" w:hAnsi="仿宋" w:eastAsia="仿宋" w:cs="仿宋"/>
          <w:b/>
          <w:bCs/>
          <w:snapToGrid/>
          <w:sz w:val="28"/>
          <w:szCs w:val="28"/>
          <w:u w:val="double"/>
          <w:lang w:val="zh-CN" w:bidi="zh-CN"/>
        </w:rPr>
        <w:t>11.能够证明债权发生、变更、存续、转让或受让，诉讼时效中止、中断、延长等的其他原始材料。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12.债权人认为需要提交的其他材料。</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以上材料，</w:t>
      </w:r>
      <w:r>
        <w:rPr>
          <w:rFonts w:hint="eastAsia" w:ascii="仿宋" w:hAnsi="仿宋" w:eastAsia="仿宋" w:cs="仿宋"/>
          <w:b/>
          <w:bCs/>
          <w:snapToGrid/>
          <w:sz w:val="28"/>
          <w:szCs w:val="28"/>
          <w:u w:val="double"/>
          <w:lang w:val="zh-CN" w:bidi="zh-CN"/>
        </w:rPr>
        <w:t>请按要求提供原件/复印件、签章、捺印并按照证据材料的形成时间先后排序。</w:t>
      </w:r>
      <w:r>
        <w:rPr>
          <w:rFonts w:hint="eastAsia" w:ascii="仿宋" w:hAnsi="仿宋" w:eastAsia="仿宋" w:cs="仿宋"/>
          <w:snapToGrid/>
          <w:sz w:val="28"/>
          <w:szCs w:val="28"/>
          <w:lang w:val="zh-CN" w:bidi="zh-CN"/>
        </w:rPr>
        <w:t>债权人为机构的，须在所有复印件上加盖公章或骑缝章；债权人为</w:t>
      </w:r>
      <w:r>
        <w:rPr>
          <w:rFonts w:hint="eastAsia" w:ascii="仿宋" w:hAnsi="仿宋" w:eastAsia="仿宋" w:cs="仿宋"/>
          <w:snapToGrid/>
          <w:sz w:val="28"/>
          <w:szCs w:val="28"/>
          <w:lang w:bidi="zh-CN"/>
        </w:rPr>
        <w:t>自然人</w:t>
      </w:r>
      <w:r>
        <w:rPr>
          <w:rFonts w:hint="eastAsia" w:ascii="仿宋" w:hAnsi="仿宋" w:eastAsia="仿宋" w:cs="仿宋"/>
          <w:snapToGrid/>
          <w:sz w:val="28"/>
          <w:szCs w:val="28"/>
          <w:lang w:val="zh-CN" w:bidi="zh-CN"/>
        </w:rPr>
        <w:t>的，须在所有复印件上签名并按捺手印。</w:t>
      </w:r>
      <w:r>
        <w:rPr>
          <w:rFonts w:hint="eastAsia" w:ascii="仿宋" w:hAnsi="仿宋" w:eastAsia="仿宋" w:cs="仿宋"/>
          <w:b/>
          <w:bCs/>
          <w:snapToGrid/>
          <w:sz w:val="28"/>
          <w:szCs w:val="28"/>
          <w:u w:val="double"/>
          <w:lang w:val="zh-CN" w:bidi="zh-CN"/>
        </w:rPr>
        <w:t>后续如有必要，临时管理人会通知核对原件，债权人应予以配合，债权人未能</w:t>
      </w:r>
      <w:r>
        <w:rPr>
          <w:rFonts w:hint="eastAsia" w:ascii="仿宋" w:hAnsi="仿宋" w:eastAsia="仿宋" w:cs="仿宋"/>
          <w:b/>
          <w:bCs/>
          <w:snapToGrid/>
          <w:sz w:val="28"/>
          <w:szCs w:val="28"/>
          <w:u w:val="double"/>
          <w:lang w:bidi="zh-CN"/>
        </w:rPr>
        <w:t>在</w:t>
      </w:r>
      <w:r>
        <w:rPr>
          <w:rFonts w:hint="eastAsia" w:ascii="仿宋" w:hAnsi="仿宋" w:eastAsia="仿宋" w:cs="仿宋"/>
          <w:b/>
          <w:bCs/>
          <w:snapToGrid/>
          <w:sz w:val="28"/>
          <w:szCs w:val="28"/>
          <w:u w:val="double"/>
          <w:lang w:val="zh-CN" w:bidi="zh-CN"/>
        </w:rPr>
        <w:t>临时管理人确定的时间内提供原件的，临时管理人有权不予确认债权人所申报债权。如债权人未提供证明债权成立及其金额的材料，临时管理人将不予受理债权申报。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如债权人认为需提交其他材料的，可参照前述标准补充提供相关材料。</w:t>
      </w:r>
    </w:p>
    <w:p>
      <w:pPr>
        <w:widowControl w:val="0"/>
        <w:kinsoku/>
        <w:adjustRightInd/>
        <w:snapToGrid/>
        <w:spacing w:line="440" w:lineRule="exact"/>
        <w:ind w:firstLine="562" w:firstLineChars="200"/>
        <w:jc w:val="both"/>
        <w:textAlignment w:val="auto"/>
        <w:rPr>
          <w:rFonts w:ascii="仿宋" w:hAnsi="仿宋" w:eastAsia="仿宋" w:cs="仿宋"/>
          <w:snapToGrid/>
          <w:sz w:val="28"/>
          <w:szCs w:val="28"/>
          <w:lang w:val="zh-CN" w:bidi="zh-CN"/>
        </w:rPr>
      </w:pPr>
      <w:r>
        <w:rPr>
          <w:rFonts w:hint="eastAsia" w:ascii="仿宋" w:hAnsi="仿宋" w:eastAsia="仿宋" w:cs="仿宋"/>
          <w:b/>
          <w:bCs/>
          <w:snapToGrid/>
          <w:sz w:val="28"/>
          <w:szCs w:val="28"/>
          <w:u w:val="double"/>
          <w:lang w:val="zh-CN" w:bidi="zh-CN"/>
        </w:rPr>
        <w:t>以上</w:t>
      </w:r>
      <w:r>
        <w:rPr>
          <w:rFonts w:hint="eastAsia" w:ascii="仿宋" w:hAnsi="仿宋" w:eastAsia="仿宋" w:cs="仿宋"/>
          <w:b/>
          <w:bCs/>
          <w:snapToGrid/>
          <w:sz w:val="28"/>
          <w:szCs w:val="28"/>
          <w:u w:val="double"/>
          <w:lang w:bidi="zh-CN"/>
        </w:rPr>
        <w:t>材料</w:t>
      </w:r>
      <w:r>
        <w:rPr>
          <w:rFonts w:hint="eastAsia" w:ascii="仿宋" w:hAnsi="仿宋" w:eastAsia="仿宋" w:cs="仿宋"/>
          <w:b/>
          <w:bCs/>
          <w:snapToGrid/>
          <w:sz w:val="28"/>
          <w:szCs w:val="28"/>
          <w:u w:val="double"/>
          <w:lang w:val="zh-CN" w:bidi="zh-CN"/>
        </w:rPr>
        <w:t>信息如有虚假填写，债权人将自行承担法律后果。</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六、特别注意事项</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（一）请各债权人收到债权申报通知</w:t>
      </w:r>
      <w:r>
        <w:rPr>
          <w:rFonts w:hint="eastAsia" w:ascii="仿宋" w:hAnsi="仿宋" w:eastAsia="仿宋" w:cs="仿宋"/>
          <w:snapToGrid/>
          <w:sz w:val="28"/>
          <w:szCs w:val="28"/>
          <w:lang w:bidi="zh-CN"/>
        </w:rPr>
        <w:t>资料或获悉债权申报公告</w:t>
      </w:r>
      <w:r>
        <w:rPr>
          <w:rFonts w:hint="eastAsia" w:ascii="仿宋" w:hAnsi="仿宋" w:eastAsia="仿宋" w:cs="仿宋"/>
          <w:snapToGrid/>
          <w:sz w:val="28"/>
          <w:szCs w:val="28"/>
          <w:lang w:val="zh-CN" w:bidi="zh-CN"/>
        </w:rPr>
        <w:t>后及时向临时管理人进行债权申报。因本案债权人众多，如各债权人申报拖延，可能造成大量债权集中于申报截止日前的数日内申报，以致债权申报审查工作难以及时完成，进而影响到债权人自身权利的行使。</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（二）如未来阶段深圳中院裁定受理广田集团</w:t>
      </w:r>
      <w:r>
        <w:rPr>
          <w:rFonts w:hint="eastAsia" w:ascii="仿宋" w:hAnsi="仿宋" w:eastAsia="仿宋" w:cs="仿宋"/>
          <w:snapToGrid/>
          <w:sz w:val="28"/>
          <w:szCs w:val="28"/>
          <w:lang w:bidi="zh-CN"/>
        </w:rPr>
        <w:t>破产</w:t>
      </w:r>
      <w:r>
        <w:rPr>
          <w:rFonts w:hint="eastAsia" w:ascii="仿宋" w:hAnsi="仿宋" w:eastAsia="仿宋" w:cs="仿宋"/>
          <w:snapToGrid/>
          <w:sz w:val="28"/>
          <w:szCs w:val="28"/>
          <w:lang w:val="zh-CN" w:bidi="zh-CN"/>
        </w:rPr>
        <w:t>重整，债权人在预重整阶段的债权申报</w:t>
      </w:r>
      <w:r>
        <w:rPr>
          <w:rFonts w:hint="eastAsia" w:ascii="仿宋" w:hAnsi="仿宋" w:eastAsia="仿宋" w:cs="仿宋"/>
          <w:b/>
          <w:bCs/>
          <w:snapToGrid/>
          <w:sz w:val="28"/>
          <w:szCs w:val="28"/>
          <w:u w:val="double"/>
          <w:lang w:val="zh-CN" w:bidi="zh-CN"/>
        </w:rPr>
        <w:t>继续有效，无需再行申报</w:t>
      </w:r>
      <w:r>
        <w:rPr>
          <w:rFonts w:hint="eastAsia" w:ascii="仿宋" w:hAnsi="仿宋" w:eastAsia="仿宋" w:cs="仿宋"/>
          <w:snapToGrid/>
          <w:sz w:val="28"/>
          <w:szCs w:val="28"/>
          <w:lang w:val="zh-CN" w:bidi="zh-CN"/>
        </w:rPr>
        <w:t>；临时管理人在预重整阶段作出的债权审查结论在深圳中院裁定受理广田集团重整后</w:t>
      </w:r>
      <w:r>
        <w:rPr>
          <w:rFonts w:hint="eastAsia" w:ascii="仿宋" w:hAnsi="仿宋" w:eastAsia="仿宋" w:cs="仿宋"/>
          <w:b/>
          <w:bCs/>
          <w:snapToGrid/>
          <w:sz w:val="28"/>
          <w:szCs w:val="28"/>
          <w:u w:val="double"/>
          <w:lang w:val="zh-CN" w:bidi="zh-CN"/>
        </w:rPr>
        <w:t>继续有效</w:t>
      </w:r>
      <w:r>
        <w:rPr>
          <w:rFonts w:hint="eastAsia" w:ascii="仿宋" w:hAnsi="仿宋" w:eastAsia="仿宋" w:cs="仿宋"/>
          <w:snapToGrid/>
          <w:sz w:val="28"/>
          <w:szCs w:val="28"/>
          <w:lang w:val="zh-CN" w:bidi="zh-CN"/>
        </w:rPr>
        <w:t>。</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（三）债权人在预重整阶段作出的如对债权审查结论无异议，同意相关议案、决议、方案等事项的表示或承诺，在深圳中院裁定受理广田集团重整后</w:t>
      </w:r>
      <w:r>
        <w:rPr>
          <w:rFonts w:hint="eastAsia" w:ascii="仿宋" w:hAnsi="仿宋" w:eastAsia="仿宋" w:cs="仿宋"/>
          <w:b/>
          <w:bCs/>
          <w:snapToGrid/>
          <w:sz w:val="28"/>
          <w:szCs w:val="28"/>
          <w:u w:val="double"/>
          <w:lang w:val="zh-CN" w:bidi="zh-CN"/>
        </w:rPr>
        <w:t>继续有效</w:t>
      </w:r>
      <w:r>
        <w:rPr>
          <w:rFonts w:hint="eastAsia" w:ascii="仿宋" w:hAnsi="仿宋" w:eastAsia="仿宋" w:cs="仿宋"/>
          <w:snapToGrid/>
          <w:sz w:val="28"/>
          <w:szCs w:val="28"/>
          <w:lang w:val="zh-CN" w:bidi="zh-CN"/>
        </w:rPr>
        <w:t>。</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（四）有效债权确认需以深圳中院最终裁定确认结果为准，临时管理人送达债权申报指引等相关文件，均不构成对债权的最终确认。</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（五）</w:t>
      </w:r>
      <w:r>
        <w:rPr>
          <w:rFonts w:hint="eastAsia" w:ascii="仿宋" w:hAnsi="仿宋" w:eastAsia="仿宋" w:cs="仿宋"/>
          <w:b/>
          <w:bCs/>
          <w:snapToGrid/>
          <w:sz w:val="28"/>
          <w:szCs w:val="28"/>
          <w:u w:val="double"/>
          <w:lang w:val="zh-CN" w:bidi="zh-CN"/>
        </w:rPr>
        <w:t>本债权申报指引不构成对无效债权（包括但不限于已过诉讼时效/除斥期间/申请执行期间等）的重新有效确认</w:t>
      </w:r>
      <w:r>
        <w:rPr>
          <w:rFonts w:hint="eastAsia" w:ascii="仿宋" w:hAnsi="仿宋" w:eastAsia="仿宋" w:cs="仿宋"/>
          <w:snapToGrid/>
          <w:sz w:val="28"/>
          <w:szCs w:val="28"/>
          <w:lang w:val="zh-CN" w:bidi="zh-CN"/>
        </w:rPr>
        <w:t>。</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（六）债权人须在所有复印件上注明“与原件一致”并签章。债权人为机构的，须在所有材料上加盖债权人单位公章及骑缝章；债权人为自然人的，由债权人本人在所有材料上签字并按捺手印。</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（七）除本指引中已标明可提供复印件的材料外，其余材料均须提供原件，所有申报材料均须一式贰份，用纸统一为A4纸尺寸。提供扫描件、复印件的材料需留存原件备查。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八）附利息的债权，利息暂计至深圳中院决定启动预重整之日(2023年1月5日),如未来阶段深圳中院裁定受理广田集团破产重整,对于附利息的债权，管理人将根据《中华人民共和国企业破产法》第四十六条第二款的规定追加计算利息至重整申请受理日</w:t>
      </w:r>
      <w:r>
        <w:rPr>
          <w:rFonts w:hint="eastAsia" w:ascii="仿宋" w:hAnsi="仿宋" w:eastAsia="仿宋" w:cs="仿宋"/>
          <w:snapToGrid/>
          <w:sz w:val="28"/>
          <w:szCs w:val="28"/>
          <w:lang w:bidi="zh-CN"/>
        </w:rPr>
        <w:t>之</w:t>
      </w:r>
      <w:r>
        <w:rPr>
          <w:rFonts w:hint="eastAsia" w:ascii="仿宋" w:hAnsi="仿宋" w:eastAsia="仿宋" w:cs="仿宋"/>
          <w:snapToGrid/>
          <w:sz w:val="28"/>
          <w:szCs w:val="28"/>
          <w:lang w:val="zh-CN" w:bidi="zh-CN"/>
        </w:rPr>
        <w:t>前</w:t>
      </w:r>
      <w:r>
        <w:rPr>
          <w:rFonts w:hint="eastAsia" w:ascii="仿宋" w:hAnsi="仿宋" w:eastAsia="仿宋" w:cs="仿宋"/>
          <w:snapToGrid/>
          <w:sz w:val="28"/>
          <w:szCs w:val="28"/>
          <w:lang w:bidi="zh-CN"/>
        </w:rPr>
        <w:t>一日</w:t>
      </w:r>
      <w:r>
        <w:rPr>
          <w:rFonts w:hint="eastAsia" w:ascii="仿宋" w:hAnsi="仿宋" w:eastAsia="仿宋" w:cs="仿宋"/>
          <w:snapToGrid/>
          <w:sz w:val="28"/>
          <w:szCs w:val="28"/>
          <w:lang w:val="zh-CN" w:bidi="zh-CN"/>
        </w:rPr>
        <w:t>，并根据《中华人民共和国企业破产法》及其司法解释的相关规定编制债权表提交给债权人会议核查，债权人对广田集团享有的债权的金额及性质最终以深圳中院在破产重整程序中裁定确认为准。</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九）债权人及其委托代理人务必在债权申报材料中注明有效的联系方式，包括但不限于固定电话、手机电话、传真、送达地址及邮政编码等。临时管理人将相关文件邮寄到指定地址、通过传真发送至指定号码或以电子邮件方式发至指定邮箱均视为有效送达。</w:t>
      </w:r>
    </w:p>
    <w:p>
      <w:pPr>
        <w:widowControl w:val="0"/>
        <w:kinsoku/>
        <w:adjustRightInd/>
        <w:snapToGrid/>
        <w:spacing w:line="440" w:lineRule="exact"/>
        <w:ind w:firstLine="560" w:firstLineChars="200"/>
        <w:jc w:val="both"/>
        <w:textAlignment w:val="auto"/>
        <w:rPr>
          <w:rFonts w:ascii="仿宋" w:hAnsi="仿宋" w:eastAsia="仿宋" w:cs="仿宋"/>
          <w:b/>
          <w:bCs/>
          <w:snapToGrid/>
          <w:sz w:val="28"/>
          <w:szCs w:val="28"/>
          <w:u w:val="double"/>
          <w:lang w:val="zh-CN" w:bidi="zh-CN"/>
        </w:rPr>
      </w:pPr>
      <w:r>
        <w:rPr>
          <w:rFonts w:hint="eastAsia" w:ascii="仿宋" w:hAnsi="仿宋" w:eastAsia="仿宋" w:cs="仿宋"/>
          <w:snapToGrid/>
          <w:sz w:val="28"/>
          <w:szCs w:val="28"/>
          <w:lang w:val="zh-CN" w:bidi="zh-CN"/>
        </w:rPr>
        <w:t>（十）</w:t>
      </w:r>
      <w:r>
        <w:rPr>
          <w:rFonts w:hint="eastAsia" w:ascii="仿宋" w:hAnsi="仿宋" w:eastAsia="仿宋" w:cs="仿宋"/>
          <w:b/>
          <w:bCs/>
          <w:snapToGrid/>
          <w:sz w:val="28"/>
          <w:szCs w:val="28"/>
          <w:u w:val="double"/>
          <w:lang w:val="zh-CN" w:bidi="zh-CN"/>
        </w:rPr>
        <w:t>债权人及其委托代理人应提供唯一手机号码用于接收参加债权人会议的相关信息，债权人应保证提供的手机号码真实有效并保持畅通，否则一切不利后果由债权人自行承担。</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（十一）</w:t>
      </w:r>
      <w:r>
        <w:rPr>
          <w:rFonts w:hint="eastAsia" w:ascii="仿宋" w:hAnsi="仿宋" w:eastAsia="仿宋" w:cs="仿宋"/>
          <w:b/>
          <w:bCs/>
          <w:snapToGrid/>
          <w:sz w:val="28"/>
          <w:szCs w:val="28"/>
          <w:u w:val="double"/>
          <w:lang w:val="zh-CN" w:bidi="zh-CN"/>
        </w:rPr>
        <w:t>如债权人申报多笔债权，应合并填写《债权申报及参会信息确认表》《债权申报书》，并在《债权申报书》中详细说明每笔债权的发生事由、债权性质和债权金额。</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二）债权人申报的债权已获得及未来将获得广田集团或者其他债务人的清偿的，应当及时告知临时管理人，隐瞒债权受偿情况将承担相应的法律责任；债权人另外对广田集团负有债务的，临时管理人将依法清收。</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（十三）如债权人以外币申报债权，应换算为人民币金额，具体汇率以深圳中院决定启动广田集团预重整程序之日（</w:t>
      </w:r>
      <w:r>
        <w:rPr>
          <w:rFonts w:hint="eastAsia" w:ascii="仿宋" w:hAnsi="仿宋" w:eastAsia="仿宋" w:cs="仿宋"/>
          <w:snapToGrid/>
          <w:sz w:val="28"/>
          <w:szCs w:val="28"/>
          <w:lang w:bidi="zh-CN"/>
        </w:rPr>
        <w:t>2023年</w:t>
      </w:r>
      <w:r>
        <w:rPr>
          <w:rFonts w:hint="eastAsia" w:ascii="仿宋" w:hAnsi="仿宋" w:eastAsia="仿宋" w:cs="仿宋"/>
          <w:snapToGrid/>
          <w:sz w:val="28"/>
          <w:szCs w:val="28"/>
          <w:lang w:val="zh-CN" w:bidi="zh-CN"/>
        </w:rPr>
        <w:t>年</w:t>
      </w:r>
      <w:r>
        <w:rPr>
          <w:rFonts w:hint="eastAsia" w:ascii="仿宋" w:hAnsi="仿宋" w:eastAsia="仿宋" w:cs="仿宋"/>
          <w:snapToGrid/>
          <w:sz w:val="28"/>
          <w:szCs w:val="28"/>
          <w:lang w:bidi="zh-CN"/>
        </w:rPr>
        <w:t>1</w:t>
      </w:r>
      <w:r>
        <w:rPr>
          <w:rFonts w:hint="eastAsia" w:ascii="仿宋" w:hAnsi="仿宋" w:eastAsia="仿宋" w:cs="仿宋"/>
          <w:snapToGrid/>
          <w:sz w:val="28"/>
          <w:szCs w:val="28"/>
          <w:lang w:val="zh-CN" w:bidi="zh-CN"/>
        </w:rPr>
        <w:t>月</w:t>
      </w:r>
      <w:r>
        <w:rPr>
          <w:rFonts w:hint="eastAsia" w:ascii="仿宋" w:hAnsi="仿宋" w:eastAsia="仿宋" w:cs="仿宋"/>
          <w:snapToGrid/>
          <w:sz w:val="28"/>
          <w:szCs w:val="28"/>
          <w:lang w:bidi="zh-CN"/>
        </w:rPr>
        <w:t>5</w:t>
      </w:r>
      <w:r>
        <w:rPr>
          <w:rFonts w:hint="eastAsia" w:ascii="仿宋" w:hAnsi="仿宋" w:eastAsia="仿宋" w:cs="仿宋"/>
          <w:snapToGrid/>
          <w:sz w:val="28"/>
          <w:szCs w:val="28"/>
          <w:lang w:val="zh-CN" w:bidi="zh-CN"/>
        </w:rPr>
        <w:t>日）中国人民银行授权中国外汇交易中心公布的人民币汇率中间价为准。</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四）如债权人为境外（含香港特别行政区、澳门特别行政区、台湾地区）自然人或境外机构，债权人提交的所有材料均须履行公证、认证及转递手续。如债权人提供的债权申报材料为外文材料，应附有中文译本，临时管理人审查以中文译本为准。</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（十五）因分公司无法人资格，不能独立承担责任，因此债权人总公司与分公司应当统一以总公司名义合并申报债权，不得分别单独</w:t>
      </w:r>
    </w:p>
    <w:p>
      <w:pPr>
        <w:widowControl w:val="0"/>
        <w:kinsoku/>
        <w:adjustRightInd/>
        <w:snapToGrid/>
        <w:spacing w:line="440" w:lineRule="exact"/>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申报，否则临时管理人有权不接受其申报。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（十六）如债权人以邮寄方式申报债权，</w:t>
      </w:r>
      <w:r>
        <w:rPr>
          <w:rFonts w:hint="eastAsia" w:ascii="仿宋" w:hAnsi="仿宋" w:eastAsia="仿宋" w:cs="仿宋"/>
          <w:b/>
          <w:bCs/>
          <w:snapToGrid/>
          <w:sz w:val="28"/>
          <w:szCs w:val="28"/>
          <w:u w:val="double"/>
          <w:lang w:val="zh-CN" w:bidi="zh-CN"/>
        </w:rPr>
        <w:t>应自行承担邮寄费用</w:t>
      </w:r>
      <w:r>
        <w:rPr>
          <w:rFonts w:hint="eastAsia" w:ascii="仿宋" w:hAnsi="仿宋" w:eastAsia="仿宋" w:cs="仿宋"/>
          <w:snapToGrid/>
          <w:sz w:val="28"/>
          <w:szCs w:val="28"/>
          <w:lang w:val="zh-CN" w:bidi="zh-CN"/>
        </w:rPr>
        <w:t>，临时管理人</w:t>
      </w:r>
      <w:r>
        <w:rPr>
          <w:rFonts w:hint="eastAsia" w:ascii="仿宋" w:hAnsi="仿宋" w:eastAsia="仿宋" w:cs="仿宋"/>
          <w:b/>
          <w:bCs/>
          <w:snapToGrid/>
          <w:sz w:val="28"/>
          <w:szCs w:val="28"/>
          <w:u w:val="double"/>
          <w:lang w:val="zh-CN" w:bidi="zh-CN"/>
        </w:rPr>
        <w:t>不受理以到付方式邮寄</w:t>
      </w:r>
      <w:r>
        <w:rPr>
          <w:rFonts w:hint="eastAsia" w:ascii="仿宋" w:hAnsi="仿宋" w:eastAsia="仿宋" w:cs="仿宋"/>
          <w:snapToGrid/>
          <w:sz w:val="28"/>
          <w:szCs w:val="28"/>
          <w:lang w:val="zh-CN" w:bidi="zh-CN"/>
        </w:rPr>
        <w:t>的债权申报。</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（十七）</w:t>
      </w:r>
      <w:r>
        <w:rPr>
          <w:rFonts w:hint="eastAsia" w:ascii="仿宋" w:hAnsi="仿宋" w:eastAsia="仿宋" w:cs="仿宋"/>
          <w:b/>
          <w:bCs/>
          <w:snapToGrid/>
          <w:sz w:val="28"/>
          <w:szCs w:val="28"/>
          <w:u w:val="double"/>
          <w:lang w:val="zh-CN" w:bidi="zh-CN"/>
        </w:rPr>
        <w:t>债权人发送至临时管理人电子邮箱的电子版申报材料应与实际提交材料文件内容、</w:t>
      </w:r>
      <w:r>
        <w:rPr>
          <w:rFonts w:hint="eastAsia" w:ascii="仿宋" w:hAnsi="仿宋" w:eastAsia="仿宋" w:cs="仿宋"/>
          <w:b/>
          <w:bCs/>
          <w:snapToGrid/>
          <w:sz w:val="28"/>
          <w:szCs w:val="28"/>
          <w:u w:val="double"/>
          <w:lang w:bidi="zh-CN"/>
        </w:rPr>
        <w:t>顺序</w:t>
      </w:r>
      <w:r>
        <w:rPr>
          <w:rFonts w:hint="eastAsia" w:ascii="仿宋" w:hAnsi="仿宋" w:eastAsia="仿宋" w:cs="仿宋"/>
          <w:b/>
          <w:bCs/>
          <w:snapToGrid/>
          <w:sz w:val="28"/>
          <w:szCs w:val="28"/>
          <w:u w:val="double"/>
          <w:lang w:val="zh-CN" w:bidi="zh-CN"/>
        </w:rPr>
        <w:t>保持一致，否则临时管理人将以债权人实际提交的材料为准开展债权登记审查工作。</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（十八）本债权申报指引未列明事项，按照《中华人民共和国企业破产法》等法律法规和司法解释执行。</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（十九）本指引只是针对债权人申报债权时注意事项及风险告知的特别提示，</w:t>
      </w:r>
      <w:r>
        <w:rPr>
          <w:rFonts w:hint="eastAsia" w:ascii="仿宋" w:hAnsi="仿宋" w:eastAsia="仿宋" w:cs="仿宋"/>
          <w:b/>
          <w:bCs/>
          <w:snapToGrid/>
          <w:sz w:val="28"/>
          <w:szCs w:val="28"/>
          <w:u w:val="double"/>
          <w:lang w:val="zh-CN" w:bidi="zh-CN"/>
        </w:rPr>
        <w:t>文本中加粗字体及下划线部分</w:t>
      </w:r>
      <w:r>
        <w:rPr>
          <w:rFonts w:hint="eastAsia" w:ascii="仿宋" w:hAnsi="仿宋" w:eastAsia="仿宋" w:cs="仿宋"/>
          <w:snapToGrid/>
          <w:sz w:val="28"/>
          <w:szCs w:val="28"/>
          <w:lang w:val="zh-CN" w:bidi="zh-CN"/>
        </w:rPr>
        <w:t>请债权人予以合理关注。本指引不视为临时管理人出具给债权人的法律意见，亦不视为临时管理人或债务人向债权人作出任何形式的承诺，本指引的解释权归属于临时管理人。</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p>
    <w:p>
      <w:pPr>
        <w:widowControl w:val="0"/>
        <w:kinsoku/>
        <w:adjustRightInd/>
        <w:snapToGrid/>
        <w:spacing w:line="440" w:lineRule="exact"/>
        <w:ind w:firstLine="562" w:firstLineChars="200"/>
        <w:jc w:val="right"/>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深圳广田集团股份有限公司临时管理人</w:t>
      </w:r>
    </w:p>
    <w:p>
      <w:pPr>
        <w:widowControl w:val="0"/>
        <w:kinsoku/>
        <w:adjustRightInd/>
        <w:snapToGrid/>
        <w:spacing w:line="440" w:lineRule="exact"/>
        <w:ind w:firstLine="562" w:firstLineChars="200"/>
        <w:jc w:val="center"/>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bidi="zh-CN"/>
        </w:rPr>
        <w:t xml:space="preserve">                     </w:t>
      </w:r>
      <w:r>
        <w:rPr>
          <w:rFonts w:hint="eastAsia" w:ascii="仿宋" w:hAnsi="仿宋" w:eastAsia="仿宋" w:cs="仿宋"/>
          <w:b/>
          <w:bCs/>
          <w:snapToGrid/>
          <w:sz w:val="28"/>
          <w:szCs w:val="28"/>
          <w:lang w:val="zh-CN" w:bidi="zh-CN"/>
        </w:rPr>
        <w:t>202</w:t>
      </w:r>
      <w:r>
        <w:rPr>
          <w:rFonts w:hint="eastAsia" w:ascii="仿宋" w:hAnsi="仿宋" w:eastAsia="仿宋" w:cs="仿宋"/>
          <w:b/>
          <w:bCs/>
          <w:snapToGrid/>
          <w:sz w:val="28"/>
          <w:szCs w:val="28"/>
          <w:lang w:bidi="zh-CN"/>
        </w:rPr>
        <w:t>3</w:t>
      </w:r>
      <w:r>
        <w:rPr>
          <w:rFonts w:hint="eastAsia" w:ascii="仿宋" w:hAnsi="仿宋" w:eastAsia="仿宋" w:cs="仿宋"/>
          <w:b/>
          <w:bCs/>
          <w:snapToGrid/>
          <w:sz w:val="28"/>
          <w:szCs w:val="28"/>
          <w:lang w:val="zh-CN" w:bidi="zh-CN"/>
        </w:rPr>
        <w:t>年</w:t>
      </w:r>
      <w:r>
        <w:rPr>
          <w:rFonts w:hint="eastAsia" w:ascii="仿宋" w:hAnsi="仿宋" w:eastAsia="仿宋" w:cs="仿宋"/>
          <w:b/>
          <w:bCs/>
          <w:snapToGrid/>
          <w:sz w:val="28"/>
          <w:szCs w:val="28"/>
          <w:lang w:bidi="zh-CN"/>
        </w:rPr>
        <w:t>1</w:t>
      </w:r>
      <w:r>
        <w:rPr>
          <w:rFonts w:hint="eastAsia" w:ascii="仿宋" w:hAnsi="仿宋" w:eastAsia="仿宋" w:cs="仿宋"/>
          <w:b/>
          <w:bCs/>
          <w:snapToGrid/>
          <w:sz w:val="28"/>
          <w:szCs w:val="28"/>
          <w:lang w:val="zh-CN" w:bidi="zh-CN"/>
        </w:rPr>
        <w:t>月</w:t>
      </w:r>
      <w:r>
        <w:rPr>
          <w:rFonts w:hint="eastAsia" w:ascii="仿宋" w:hAnsi="仿宋" w:eastAsia="仿宋" w:cs="仿宋"/>
          <w:b/>
          <w:bCs/>
          <w:snapToGrid/>
          <w:sz w:val="28"/>
          <w:szCs w:val="28"/>
          <w:lang w:bidi="zh-CN"/>
        </w:rPr>
        <w:t>11</w:t>
      </w:r>
      <w:r>
        <w:rPr>
          <w:rFonts w:hint="eastAsia" w:ascii="仿宋" w:hAnsi="仿宋" w:eastAsia="仿宋" w:cs="仿宋"/>
          <w:b/>
          <w:bCs/>
          <w:snapToGrid/>
          <w:sz w:val="28"/>
          <w:szCs w:val="28"/>
          <w:lang w:val="zh-CN" w:bidi="zh-CN"/>
        </w:rPr>
        <w:t>日</w:t>
      </w: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p>
    <w:p>
      <w:pPr>
        <w:widowControl w:val="0"/>
        <w:kinsoku/>
        <w:adjustRightInd/>
        <w:snapToGrid/>
        <w:spacing w:line="440" w:lineRule="exact"/>
        <w:ind w:firstLine="562" w:firstLineChars="200"/>
        <w:jc w:val="both"/>
        <w:textAlignment w:val="auto"/>
        <w:rPr>
          <w:rFonts w:ascii="仿宋" w:hAnsi="仿宋" w:eastAsia="仿宋" w:cs="仿宋"/>
          <w:b/>
          <w:bCs/>
          <w:snapToGrid/>
          <w:sz w:val="28"/>
          <w:szCs w:val="28"/>
          <w:lang w:val="zh-CN" w:bidi="zh-CN"/>
        </w:rPr>
      </w:pPr>
      <w:r>
        <w:rPr>
          <w:rFonts w:hint="eastAsia" w:ascii="仿宋" w:hAnsi="仿宋" w:eastAsia="仿宋" w:cs="仿宋"/>
          <w:b/>
          <w:bCs/>
          <w:snapToGrid/>
          <w:sz w:val="28"/>
          <w:szCs w:val="28"/>
          <w:lang w:val="zh-CN" w:bidi="zh-CN"/>
        </w:rPr>
        <w:t>附件：</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1.深圳广田集团股份有限公司预重整债权申报及参会信息确认表；</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2.深圳广田集团股份有限公司预重整债权申报材料目录；</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3.深圳广田集团股份有限公司预重整债权申报书；</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4.诚信申报债权承诺书；</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5.法定代表人（负责人）身份证明书（范本）；</w:t>
      </w:r>
    </w:p>
    <w:p>
      <w:pPr>
        <w:widowControl w:val="0"/>
        <w:kinsoku/>
        <w:adjustRightInd/>
        <w:snapToGrid/>
        <w:spacing w:line="440" w:lineRule="exact"/>
        <w:ind w:firstLine="560" w:firstLineChars="200"/>
        <w:jc w:val="both"/>
        <w:textAlignment w:val="auto"/>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t>6.授权委托书（范本）。</w:t>
      </w:r>
    </w:p>
    <w:p>
      <w:pPr>
        <w:rPr>
          <w:rFonts w:ascii="仿宋" w:hAnsi="仿宋" w:eastAsia="仿宋" w:cs="仿宋"/>
          <w:snapToGrid/>
          <w:sz w:val="28"/>
          <w:szCs w:val="28"/>
          <w:lang w:val="zh-CN" w:bidi="zh-CN"/>
        </w:rPr>
      </w:pPr>
      <w:r>
        <w:rPr>
          <w:rFonts w:hint="eastAsia" w:ascii="仿宋" w:hAnsi="仿宋" w:eastAsia="仿宋" w:cs="仿宋"/>
          <w:snapToGrid/>
          <w:sz w:val="28"/>
          <w:szCs w:val="28"/>
          <w:lang w:val="zh-CN" w:bidi="zh-CN"/>
        </w:rPr>
        <w:br w:type="page"/>
      </w: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ind w:firstLine="560" w:firstLineChars="200"/>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widowControl w:val="0"/>
        <w:kinsoku/>
        <w:adjustRightInd/>
        <w:snapToGrid/>
        <w:spacing w:line="440" w:lineRule="exact"/>
        <w:textAlignment w:val="auto"/>
        <w:rPr>
          <w:rFonts w:ascii="仿宋" w:hAnsi="仿宋" w:eastAsia="仿宋" w:cs="仿宋"/>
          <w:snapToGrid/>
          <w:sz w:val="28"/>
          <w:szCs w:val="28"/>
          <w:lang w:val="zh-CN" w:bidi="zh-CN"/>
        </w:rPr>
      </w:pPr>
    </w:p>
    <w:p>
      <w:pPr>
        <w:spacing w:line="440" w:lineRule="exact"/>
        <w:rPr>
          <w:rFonts w:hint="eastAsia" w:eastAsiaTheme="minorEastAsia"/>
          <w:sz w:val="28"/>
          <w:szCs w:val="28"/>
        </w:rPr>
      </w:pPr>
    </w:p>
    <w:p>
      <w:pPr>
        <w:spacing w:before="44"/>
        <w:rPr>
          <w:rFonts w:hint="eastAsia"/>
          <w:b/>
          <w:sz w:val="24"/>
        </w:rPr>
      </w:pPr>
      <w:r>
        <w:br w:type="column"/>
      </w:r>
      <w:r>
        <w:rPr>
          <w:rFonts w:hint="eastAsia" w:ascii="宋体" w:hAnsi="宋体" w:eastAsia="宋体" w:cs="宋体"/>
          <w:b/>
          <w:sz w:val="24"/>
        </w:rPr>
        <w:t>申报编号：</w:t>
      </w:r>
    </w:p>
    <w:p>
      <w:pPr>
        <w:jc w:val="center"/>
        <w:rPr>
          <w:rFonts w:hint="eastAsia" w:ascii="仿宋" w:hAnsi="仿宋" w:eastAsia="仿宋" w:cs="宋体"/>
          <w:snapToGrid/>
          <w:color w:val="auto"/>
          <w:sz w:val="22"/>
          <w:szCs w:val="22"/>
        </w:rPr>
      </w:pPr>
      <w:r>
        <w:rPr>
          <w:rFonts w:hint="eastAsia" w:ascii="华文中宋" w:hAnsi="华文中宋" w:eastAsia="华文中宋" w:cs="仿宋"/>
          <w:b/>
          <w:sz w:val="32"/>
          <w:szCs w:val="32"/>
        </w:rPr>
        <w:t>深圳广田集团股份有限公司预重整</w:t>
      </w:r>
    </w:p>
    <w:p>
      <w:pPr>
        <w:jc w:val="center"/>
        <w:rPr>
          <w:rFonts w:ascii="华文中宋" w:hAnsi="华文中宋" w:eastAsia="华文中宋" w:cs="仿宋"/>
          <w:b/>
          <w:sz w:val="32"/>
          <w:szCs w:val="32"/>
        </w:rPr>
        <w:sectPr>
          <w:footerReference r:id="rId3" w:type="default"/>
          <w:pgSz w:w="11910" w:h="16840"/>
          <w:pgMar w:top="1440" w:right="1800" w:bottom="1440" w:left="1800" w:header="0" w:footer="1020" w:gutter="0"/>
          <w:cols w:space="720" w:num="1"/>
          <w:docGrid w:linePitch="286" w:charSpace="0"/>
        </w:sectPr>
      </w:pPr>
      <w:r>
        <w:rPr>
          <w:rFonts w:hint="eastAsia" w:ascii="华文中宋" w:hAnsi="华文中宋" w:eastAsia="华文中宋" w:cs="仿宋"/>
          <w:b/>
          <w:sz w:val="32"/>
          <w:szCs w:val="32"/>
        </w:rPr>
        <w:t>债权申报及参会信息确认表</w:t>
      </w:r>
    </w:p>
    <w:p>
      <w:pPr>
        <w:pStyle w:val="6"/>
        <w:spacing w:before="14"/>
        <w:rPr>
          <w:rFonts w:ascii="华文中宋"/>
          <w:b/>
          <w:sz w:val="15"/>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1320"/>
        <w:gridCol w:w="127"/>
        <w:gridCol w:w="602"/>
        <w:gridCol w:w="604"/>
        <w:gridCol w:w="246"/>
        <w:gridCol w:w="174"/>
        <w:gridCol w:w="179"/>
        <w:gridCol w:w="601"/>
        <w:gridCol w:w="610"/>
        <w:gridCol w:w="184"/>
        <w:gridCol w:w="406"/>
        <w:gridCol w:w="601"/>
        <w:gridCol w:w="600"/>
        <w:gridCol w:w="600"/>
        <w:gridCol w:w="602"/>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85" w:type="dxa"/>
          </w:tcPr>
          <w:p>
            <w:pPr>
              <w:pStyle w:val="15"/>
              <w:spacing w:before="129"/>
              <w:ind w:left="247" w:right="240"/>
              <w:jc w:val="center"/>
              <w:rPr>
                <w:b/>
                <w:sz w:val="24"/>
              </w:rPr>
            </w:pPr>
            <w:r>
              <w:rPr>
                <w:b/>
                <w:sz w:val="24"/>
              </w:rPr>
              <w:t>债权人名称</w:t>
            </w:r>
          </w:p>
        </w:tc>
        <w:tc>
          <w:tcPr>
            <w:tcW w:w="8287" w:type="dxa"/>
            <w:gridSpan w:val="16"/>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985" w:type="dxa"/>
          </w:tcPr>
          <w:p>
            <w:pPr>
              <w:pStyle w:val="15"/>
              <w:spacing w:before="2"/>
              <w:ind w:left="208"/>
              <w:rPr>
                <w:b/>
                <w:sz w:val="24"/>
              </w:rPr>
            </w:pPr>
            <w:r>
              <w:rPr>
                <w:b/>
                <w:sz w:val="24"/>
              </w:rPr>
              <w:t>身份证号/统一</w:t>
            </w:r>
          </w:p>
          <w:p>
            <w:pPr>
              <w:pStyle w:val="15"/>
              <w:spacing w:before="4" w:line="289" w:lineRule="exact"/>
              <w:ind w:left="268"/>
              <w:rPr>
                <w:b/>
                <w:sz w:val="24"/>
              </w:rPr>
            </w:pPr>
            <w:r>
              <w:rPr>
                <w:b/>
                <w:sz w:val="24"/>
              </w:rPr>
              <w:t>社会信用代码</w:t>
            </w:r>
          </w:p>
        </w:tc>
        <w:tc>
          <w:tcPr>
            <w:tcW w:w="8287" w:type="dxa"/>
            <w:gridSpan w:val="16"/>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tcPr>
          <w:p>
            <w:pPr>
              <w:pStyle w:val="15"/>
              <w:spacing w:before="129"/>
              <w:ind w:left="247" w:right="240"/>
              <w:jc w:val="center"/>
              <w:rPr>
                <w:b/>
                <w:sz w:val="24"/>
              </w:rPr>
            </w:pPr>
            <w:r>
              <w:rPr>
                <w:b/>
                <w:sz w:val="24"/>
              </w:rPr>
              <w:t>法定代表人</w:t>
            </w:r>
          </w:p>
        </w:tc>
        <w:tc>
          <w:tcPr>
            <w:tcW w:w="3073" w:type="dxa"/>
            <w:gridSpan w:val="6"/>
          </w:tcPr>
          <w:p>
            <w:pPr>
              <w:pStyle w:val="15"/>
              <w:rPr>
                <w:rFonts w:ascii="Times New Roman"/>
                <w:sz w:val="24"/>
              </w:rPr>
            </w:pPr>
          </w:p>
        </w:tc>
        <w:tc>
          <w:tcPr>
            <w:tcW w:w="1390" w:type="dxa"/>
            <w:gridSpan w:val="3"/>
          </w:tcPr>
          <w:p>
            <w:pPr>
              <w:pStyle w:val="15"/>
              <w:spacing w:before="129"/>
              <w:ind w:left="225"/>
              <w:rPr>
                <w:b/>
                <w:sz w:val="24"/>
              </w:rPr>
            </w:pPr>
            <w:r>
              <w:rPr>
                <w:b/>
                <w:sz w:val="24"/>
              </w:rPr>
              <w:t>联系电话</w:t>
            </w:r>
          </w:p>
        </w:tc>
        <w:tc>
          <w:tcPr>
            <w:tcW w:w="3824" w:type="dxa"/>
            <w:gridSpan w:val="7"/>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tcPr>
          <w:p>
            <w:pPr>
              <w:pStyle w:val="15"/>
              <w:spacing w:before="132"/>
              <w:ind w:left="247" w:right="240"/>
              <w:jc w:val="center"/>
              <w:rPr>
                <w:b/>
                <w:sz w:val="24"/>
              </w:rPr>
            </w:pPr>
            <w:r>
              <w:rPr>
                <w:b/>
                <w:sz w:val="24"/>
              </w:rPr>
              <w:t>委托代理人</w:t>
            </w:r>
          </w:p>
        </w:tc>
        <w:tc>
          <w:tcPr>
            <w:tcW w:w="3073" w:type="dxa"/>
            <w:gridSpan w:val="6"/>
          </w:tcPr>
          <w:p>
            <w:pPr>
              <w:pStyle w:val="15"/>
              <w:rPr>
                <w:rFonts w:ascii="Times New Roman"/>
                <w:sz w:val="24"/>
              </w:rPr>
            </w:pPr>
          </w:p>
        </w:tc>
        <w:tc>
          <w:tcPr>
            <w:tcW w:w="1390" w:type="dxa"/>
            <w:gridSpan w:val="3"/>
          </w:tcPr>
          <w:p>
            <w:pPr>
              <w:pStyle w:val="15"/>
              <w:spacing w:before="132"/>
              <w:ind w:left="225"/>
              <w:rPr>
                <w:b/>
                <w:sz w:val="24"/>
              </w:rPr>
            </w:pPr>
            <w:r>
              <w:rPr>
                <w:b/>
                <w:sz w:val="24"/>
              </w:rPr>
              <w:t>联系电话</w:t>
            </w:r>
          </w:p>
        </w:tc>
        <w:tc>
          <w:tcPr>
            <w:tcW w:w="3824" w:type="dxa"/>
            <w:gridSpan w:val="7"/>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tcPr>
          <w:p>
            <w:pPr>
              <w:pStyle w:val="15"/>
              <w:spacing w:before="129"/>
              <w:ind w:left="247" w:right="240"/>
              <w:jc w:val="center"/>
              <w:rPr>
                <w:b/>
                <w:sz w:val="24"/>
              </w:rPr>
            </w:pPr>
            <w:r>
              <w:rPr>
                <w:b/>
                <w:sz w:val="24"/>
              </w:rPr>
              <w:t>电子邮箱</w:t>
            </w:r>
          </w:p>
        </w:tc>
        <w:tc>
          <w:tcPr>
            <w:tcW w:w="3073" w:type="dxa"/>
            <w:gridSpan w:val="6"/>
          </w:tcPr>
          <w:p>
            <w:pPr>
              <w:pStyle w:val="15"/>
              <w:rPr>
                <w:rFonts w:ascii="Times New Roman"/>
                <w:sz w:val="24"/>
              </w:rPr>
            </w:pPr>
          </w:p>
        </w:tc>
        <w:tc>
          <w:tcPr>
            <w:tcW w:w="1390" w:type="dxa"/>
            <w:gridSpan w:val="3"/>
          </w:tcPr>
          <w:p>
            <w:pPr>
              <w:pStyle w:val="15"/>
              <w:spacing w:before="129"/>
              <w:ind w:left="225"/>
              <w:rPr>
                <w:b/>
                <w:sz w:val="24"/>
              </w:rPr>
            </w:pPr>
            <w:r>
              <w:rPr>
                <w:b/>
                <w:sz w:val="24"/>
              </w:rPr>
              <w:t>联系传真</w:t>
            </w:r>
          </w:p>
        </w:tc>
        <w:tc>
          <w:tcPr>
            <w:tcW w:w="3824" w:type="dxa"/>
            <w:gridSpan w:val="7"/>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tcPr>
          <w:p>
            <w:pPr>
              <w:pStyle w:val="15"/>
              <w:spacing w:before="129"/>
              <w:ind w:left="247" w:right="235"/>
              <w:jc w:val="center"/>
              <w:rPr>
                <w:b/>
                <w:sz w:val="24"/>
              </w:rPr>
            </w:pPr>
            <w:r>
              <w:rPr>
                <w:b/>
                <w:sz w:val="24"/>
              </w:rPr>
              <w:t>地址</w:t>
            </w:r>
          </w:p>
        </w:tc>
        <w:tc>
          <w:tcPr>
            <w:tcW w:w="8287" w:type="dxa"/>
            <w:gridSpan w:val="16"/>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vMerge w:val="restart"/>
          </w:tcPr>
          <w:p>
            <w:pPr>
              <w:pStyle w:val="15"/>
              <w:rPr>
                <w:rFonts w:ascii="华文中宋"/>
                <w:b/>
                <w:sz w:val="24"/>
              </w:rPr>
            </w:pPr>
          </w:p>
          <w:p>
            <w:pPr>
              <w:pStyle w:val="15"/>
              <w:spacing w:before="1"/>
              <w:rPr>
                <w:rFonts w:ascii="华文中宋"/>
                <w:b/>
                <w:sz w:val="19"/>
              </w:rPr>
            </w:pPr>
          </w:p>
          <w:p>
            <w:pPr>
              <w:pStyle w:val="15"/>
              <w:spacing w:line="242" w:lineRule="auto"/>
              <w:ind w:left="509" w:right="499" w:firstLine="2"/>
              <w:jc w:val="center"/>
              <w:rPr>
                <w:b/>
                <w:sz w:val="24"/>
              </w:rPr>
            </w:pPr>
            <w:r>
              <w:rPr>
                <w:b/>
                <w:sz w:val="24"/>
              </w:rPr>
              <w:t>债权人</w:t>
            </w:r>
            <w:r>
              <w:rPr>
                <w:b/>
                <w:spacing w:val="-5"/>
                <w:sz w:val="24"/>
              </w:rPr>
              <w:t>收件信息</w:t>
            </w:r>
          </w:p>
          <w:p>
            <w:pPr>
              <w:pStyle w:val="15"/>
              <w:spacing w:before="1"/>
              <w:ind w:left="247" w:right="241"/>
              <w:jc w:val="center"/>
              <w:rPr>
                <w:b/>
                <w:sz w:val="24"/>
              </w:rPr>
            </w:pPr>
            <w:r>
              <w:rPr>
                <w:b/>
                <w:sz w:val="24"/>
              </w:rPr>
              <w:t>（非常重要）</w:t>
            </w:r>
          </w:p>
        </w:tc>
        <w:tc>
          <w:tcPr>
            <w:tcW w:w="1447" w:type="dxa"/>
            <w:gridSpan w:val="2"/>
          </w:tcPr>
          <w:p>
            <w:pPr>
              <w:pStyle w:val="15"/>
              <w:spacing w:before="129"/>
              <w:ind w:left="362"/>
              <w:rPr>
                <w:b/>
                <w:sz w:val="24"/>
              </w:rPr>
            </w:pPr>
            <w:r>
              <w:rPr>
                <w:b/>
                <w:sz w:val="24"/>
              </w:rPr>
              <w:t>收件人</w:t>
            </w:r>
          </w:p>
        </w:tc>
        <w:tc>
          <w:tcPr>
            <w:tcW w:w="6840" w:type="dxa"/>
            <w:gridSpan w:val="14"/>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85" w:type="dxa"/>
            <w:vMerge w:val="continue"/>
            <w:tcBorders>
              <w:top w:val="nil"/>
            </w:tcBorders>
          </w:tcPr>
          <w:p>
            <w:pPr>
              <w:rPr>
                <w:sz w:val="2"/>
                <w:szCs w:val="2"/>
              </w:rPr>
            </w:pPr>
          </w:p>
        </w:tc>
        <w:tc>
          <w:tcPr>
            <w:tcW w:w="1447" w:type="dxa"/>
            <w:gridSpan w:val="2"/>
          </w:tcPr>
          <w:p>
            <w:pPr>
              <w:pStyle w:val="15"/>
              <w:spacing w:before="129"/>
              <w:ind w:left="240"/>
              <w:rPr>
                <w:b/>
                <w:sz w:val="24"/>
              </w:rPr>
            </w:pPr>
            <w:r>
              <w:rPr>
                <w:b/>
                <w:sz w:val="24"/>
              </w:rPr>
              <w:t>电子邮箱</w:t>
            </w:r>
          </w:p>
        </w:tc>
        <w:tc>
          <w:tcPr>
            <w:tcW w:w="6840" w:type="dxa"/>
            <w:gridSpan w:val="14"/>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vMerge w:val="continue"/>
            <w:tcBorders>
              <w:top w:val="nil"/>
            </w:tcBorders>
          </w:tcPr>
          <w:p>
            <w:pPr>
              <w:rPr>
                <w:sz w:val="2"/>
                <w:szCs w:val="2"/>
              </w:rPr>
            </w:pPr>
          </w:p>
        </w:tc>
        <w:tc>
          <w:tcPr>
            <w:tcW w:w="1447" w:type="dxa"/>
            <w:gridSpan w:val="2"/>
          </w:tcPr>
          <w:p>
            <w:pPr>
              <w:pStyle w:val="15"/>
              <w:spacing w:before="132"/>
              <w:ind w:left="240"/>
              <w:rPr>
                <w:b/>
                <w:sz w:val="24"/>
              </w:rPr>
            </w:pPr>
            <w:r>
              <w:rPr>
                <w:b/>
                <w:sz w:val="24"/>
              </w:rPr>
              <w:t>通讯地址</w:t>
            </w:r>
          </w:p>
        </w:tc>
        <w:tc>
          <w:tcPr>
            <w:tcW w:w="6840" w:type="dxa"/>
            <w:gridSpan w:val="14"/>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vMerge w:val="continue"/>
            <w:tcBorders>
              <w:top w:val="nil"/>
            </w:tcBorders>
          </w:tcPr>
          <w:p>
            <w:pPr>
              <w:rPr>
                <w:sz w:val="2"/>
                <w:szCs w:val="2"/>
              </w:rPr>
            </w:pPr>
          </w:p>
        </w:tc>
        <w:tc>
          <w:tcPr>
            <w:tcW w:w="1447" w:type="dxa"/>
            <w:gridSpan w:val="2"/>
          </w:tcPr>
          <w:p>
            <w:pPr>
              <w:pStyle w:val="15"/>
              <w:spacing w:before="129"/>
              <w:ind w:left="240"/>
              <w:rPr>
                <w:b/>
                <w:sz w:val="24"/>
              </w:rPr>
            </w:pPr>
            <w:r>
              <w:rPr>
                <w:b/>
                <w:sz w:val="24"/>
              </w:rPr>
              <w:t>手机号码</w:t>
            </w:r>
          </w:p>
        </w:tc>
        <w:tc>
          <w:tcPr>
            <w:tcW w:w="602" w:type="dxa"/>
          </w:tcPr>
          <w:p>
            <w:pPr>
              <w:pStyle w:val="15"/>
              <w:rPr>
                <w:rFonts w:ascii="Times New Roman"/>
                <w:sz w:val="24"/>
              </w:rPr>
            </w:pPr>
          </w:p>
        </w:tc>
        <w:tc>
          <w:tcPr>
            <w:tcW w:w="604" w:type="dxa"/>
          </w:tcPr>
          <w:p>
            <w:pPr>
              <w:pStyle w:val="15"/>
              <w:rPr>
                <w:rFonts w:ascii="Times New Roman"/>
                <w:sz w:val="24"/>
              </w:rPr>
            </w:pPr>
          </w:p>
        </w:tc>
        <w:tc>
          <w:tcPr>
            <w:tcW w:w="599" w:type="dxa"/>
            <w:gridSpan w:val="3"/>
          </w:tcPr>
          <w:p>
            <w:pPr>
              <w:pStyle w:val="15"/>
              <w:rPr>
                <w:rFonts w:ascii="Times New Roman"/>
                <w:sz w:val="24"/>
              </w:rPr>
            </w:pPr>
          </w:p>
        </w:tc>
        <w:tc>
          <w:tcPr>
            <w:tcW w:w="601" w:type="dxa"/>
          </w:tcPr>
          <w:p>
            <w:pPr>
              <w:pStyle w:val="15"/>
              <w:rPr>
                <w:rFonts w:ascii="Times New Roman"/>
                <w:sz w:val="24"/>
              </w:rPr>
            </w:pPr>
          </w:p>
        </w:tc>
        <w:tc>
          <w:tcPr>
            <w:tcW w:w="610" w:type="dxa"/>
          </w:tcPr>
          <w:p>
            <w:pPr>
              <w:pStyle w:val="15"/>
              <w:rPr>
                <w:rFonts w:ascii="Times New Roman"/>
                <w:sz w:val="24"/>
              </w:rPr>
            </w:pPr>
          </w:p>
        </w:tc>
        <w:tc>
          <w:tcPr>
            <w:tcW w:w="590" w:type="dxa"/>
            <w:gridSpan w:val="2"/>
          </w:tcPr>
          <w:p>
            <w:pPr>
              <w:pStyle w:val="15"/>
              <w:rPr>
                <w:rFonts w:ascii="Times New Roman"/>
                <w:sz w:val="24"/>
              </w:rPr>
            </w:pPr>
          </w:p>
        </w:tc>
        <w:tc>
          <w:tcPr>
            <w:tcW w:w="601" w:type="dxa"/>
          </w:tcPr>
          <w:p>
            <w:pPr>
              <w:pStyle w:val="15"/>
              <w:rPr>
                <w:rFonts w:ascii="Times New Roman"/>
                <w:sz w:val="24"/>
              </w:rPr>
            </w:pPr>
          </w:p>
        </w:tc>
        <w:tc>
          <w:tcPr>
            <w:tcW w:w="600" w:type="dxa"/>
          </w:tcPr>
          <w:p>
            <w:pPr>
              <w:pStyle w:val="15"/>
              <w:rPr>
                <w:rFonts w:ascii="Times New Roman"/>
                <w:sz w:val="24"/>
              </w:rPr>
            </w:pPr>
          </w:p>
        </w:tc>
        <w:tc>
          <w:tcPr>
            <w:tcW w:w="600" w:type="dxa"/>
          </w:tcPr>
          <w:p>
            <w:pPr>
              <w:pStyle w:val="15"/>
              <w:rPr>
                <w:rFonts w:ascii="Times New Roman"/>
                <w:sz w:val="24"/>
              </w:rPr>
            </w:pPr>
          </w:p>
        </w:tc>
        <w:tc>
          <w:tcPr>
            <w:tcW w:w="602" w:type="dxa"/>
          </w:tcPr>
          <w:p>
            <w:pPr>
              <w:pStyle w:val="15"/>
              <w:rPr>
                <w:rFonts w:ascii="Times New Roman"/>
                <w:sz w:val="24"/>
              </w:rPr>
            </w:pPr>
          </w:p>
        </w:tc>
        <w:tc>
          <w:tcPr>
            <w:tcW w:w="831"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vMerge w:val="restart"/>
          </w:tcPr>
          <w:p>
            <w:pPr>
              <w:pStyle w:val="15"/>
              <w:rPr>
                <w:rFonts w:ascii="华文中宋"/>
                <w:b/>
                <w:sz w:val="24"/>
              </w:rPr>
            </w:pPr>
          </w:p>
          <w:p>
            <w:pPr>
              <w:pStyle w:val="15"/>
              <w:spacing w:before="9"/>
              <w:rPr>
                <w:rFonts w:ascii="华文中宋"/>
                <w:b/>
                <w:sz w:val="20"/>
              </w:rPr>
            </w:pPr>
          </w:p>
          <w:p>
            <w:pPr>
              <w:pStyle w:val="15"/>
              <w:ind w:left="268"/>
              <w:rPr>
                <w:b/>
                <w:sz w:val="24"/>
              </w:rPr>
            </w:pPr>
            <w:r>
              <w:rPr>
                <w:b/>
                <w:sz w:val="24"/>
              </w:rPr>
              <w:t>申报债权金额</w:t>
            </w:r>
          </w:p>
        </w:tc>
        <w:tc>
          <w:tcPr>
            <w:tcW w:w="3853" w:type="dxa"/>
            <w:gridSpan w:val="8"/>
          </w:tcPr>
          <w:p>
            <w:pPr>
              <w:pStyle w:val="15"/>
              <w:spacing w:before="129"/>
              <w:ind w:left="108"/>
              <w:rPr>
                <w:rFonts w:ascii="Times New Roman"/>
                <w:sz w:val="24"/>
              </w:rPr>
            </w:pPr>
            <w:r>
              <w:rPr>
                <w:b/>
                <w:sz w:val="24"/>
              </w:rPr>
              <w:t>币种：</w:t>
            </w:r>
            <w:r>
              <w:rPr>
                <w:rFonts w:hint="eastAsia"/>
                <w:b/>
                <w:sz w:val="24"/>
                <w:lang w:val="en-US"/>
              </w:rPr>
              <w:t xml:space="preserve">                         </w:t>
            </w:r>
          </w:p>
        </w:tc>
        <w:tc>
          <w:tcPr>
            <w:tcW w:w="4434" w:type="dxa"/>
            <w:gridSpan w:val="8"/>
          </w:tcPr>
          <w:p>
            <w:pPr>
              <w:pStyle w:val="15"/>
              <w:spacing w:before="129"/>
              <w:ind w:left="108"/>
              <w:rPr>
                <w:b/>
                <w:sz w:val="24"/>
              </w:rPr>
            </w:pPr>
            <w:r>
              <w:rPr>
                <w:b/>
                <w:sz w:val="24"/>
              </w:rPr>
              <w:t>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vMerge w:val="continue"/>
            <w:tcBorders>
              <w:top w:val="nil"/>
            </w:tcBorders>
          </w:tcPr>
          <w:p>
            <w:pPr>
              <w:rPr>
                <w:sz w:val="2"/>
                <w:szCs w:val="2"/>
              </w:rPr>
            </w:pPr>
          </w:p>
        </w:tc>
        <w:tc>
          <w:tcPr>
            <w:tcW w:w="3853" w:type="dxa"/>
            <w:gridSpan w:val="8"/>
          </w:tcPr>
          <w:p>
            <w:pPr>
              <w:pStyle w:val="15"/>
              <w:spacing w:before="129"/>
              <w:ind w:left="108"/>
              <w:rPr>
                <w:b/>
                <w:sz w:val="24"/>
              </w:rPr>
            </w:pPr>
            <w:r>
              <w:rPr>
                <w:b/>
                <w:sz w:val="24"/>
              </w:rPr>
              <w:t>本金：</w:t>
            </w:r>
          </w:p>
        </w:tc>
        <w:tc>
          <w:tcPr>
            <w:tcW w:w="4434" w:type="dxa"/>
            <w:gridSpan w:val="8"/>
          </w:tcPr>
          <w:p>
            <w:pPr>
              <w:pStyle w:val="15"/>
              <w:spacing w:before="129"/>
              <w:ind w:left="114"/>
              <w:rPr>
                <w:b/>
                <w:sz w:val="24"/>
              </w:rPr>
            </w:pPr>
            <w:r>
              <w:rPr>
                <w:b/>
                <w:sz w:val="24"/>
              </w:rPr>
              <w:t>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vMerge w:val="continue"/>
            <w:tcBorders>
              <w:top w:val="nil"/>
            </w:tcBorders>
          </w:tcPr>
          <w:p>
            <w:pPr>
              <w:rPr>
                <w:sz w:val="2"/>
                <w:szCs w:val="2"/>
              </w:rPr>
            </w:pPr>
          </w:p>
        </w:tc>
        <w:tc>
          <w:tcPr>
            <w:tcW w:w="8287" w:type="dxa"/>
            <w:gridSpan w:val="16"/>
          </w:tcPr>
          <w:p>
            <w:pPr>
              <w:pStyle w:val="15"/>
              <w:spacing w:before="129"/>
              <w:ind w:left="108"/>
              <w:rPr>
                <w:b/>
                <w:sz w:val="24"/>
              </w:rPr>
            </w:pPr>
            <w:r>
              <w:rPr>
                <w:b/>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985" w:type="dxa"/>
            <w:vMerge w:val="restart"/>
          </w:tcPr>
          <w:p>
            <w:pPr>
              <w:pStyle w:val="15"/>
              <w:rPr>
                <w:rFonts w:ascii="华文中宋"/>
                <w:b/>
                <w:sz w:val="24"/>
              </w:rPr>
            </w:pPr>
          </w:p>
          <w:p>
            <w:pPr>
              <w:pStyle w:val="15"/>
              <w:rPr>
                <w:rFonts w:ascii="华文中宋"/>
                <w:b/>
                <w:sz w:val="24"/>
              </w:rPr>
            </w:pPr>
          </w:p>
          <w:p>
            <w:pPr>
              <w:pStyle w:val="15"/>
              <w:spacing w:before="9"/>
              <w:rPr>
                <w:rFonts w:ascii="华文中宋"/>
                <w:b/>
                <w:sz w:val="34"/>
              </w:rPr>
            </w:pPr>
          </w:p>
          <w:p>
            <w:pPr>
              <w:pStyle w:val="15"/>
              <w:ind w:left="268"/>
              <w:rPr>
                <w:b/>
                <w:sz w:val="24"/>
              </w:rPr>
            </w:pPr>
            <w:r>
              <w:rPr>
                <w:b/>
                <w:sz w:val="24"/>
              </w:rPr>
              <w:t>债权有无担保</w:t>
            </w:r>
          </w:p>
        </w:tc>
        <w:tc>
          <w:tcPr>
            <w:tcW w:w="8287" w:type="dxa"/>
            <w:gridSpan w:val="16"/>
          </w:tcPr>
          <w:p>
            <w:pPr>
              <w:pStyle w:val="15"/>
              <w:spacing w:before="129"/>
              <w:ind w:left="4257" w:right="3263"/>
              <w:jc w:val="center"/>
              <w:rPr>
                <w:sz w:val="24"/>
              </w:rPr>
            </w:pPr>
            <w:r>
              <w:rPr>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985" w:type="dxa"/>
            <w:vMerge w:val="continue"/>
            <w:tcBorders>
              <w:top w:val="nil"/>
            </w:tcBorders>
          </w:tcPr>
          <w:p>
            <w:pPr>
              <w:rPr>
                <w:sz w:val="2"/>
                <w:szCs w:val="2"/>
              </w:rPr>
            </w:pPr>
          </w:p>
        </w:tc>
        <w:tc>
          <w:tcPr>
            <w:tcW w:w="1320" w:type="dxa"/>
            <w:vMerge w:val="restart"/>
          </w:tcPr>
          <w:p>
            <w:pPr>
              <w:pStyle w:val="15"/>
              <w:rPr>
                <w:rFonts w:ascii="华文中宋"/>
                <w:b/>
                <w:sz w:val="24"/>
              </w:rPr>
            </w:pPr>
          </w:p>
          <w:p>
            <w:pPr>
              <w:pStyle w:val="15"/>
              <w:rPr>
                <w:rFonts w:ascii="华文中宋"/>
                <w:b/>
                <w:sz w:val="24"/>
              </w:rPr>
            </w:pPr>
          </w:p>
          <w:p>
            <w:pPr>
              <w:pStyle w:val="15"/>
              <w:spacing w:before="7"/>
              <w:rPr>
                <w:rFonts w:ascii="华文中宋"/>
                <w:b/>
                <w:sz w:val="16"/>
              </w:rPr>
            </w:pPr>
          </w:p>
          <w:p>
            <w:pPr>
              <w:pStyle w:val="15"/>
              <w:ind w:left="420"/>
              <w:rPr>
                <w:sz w:val="24"/>
              </w:rPr>
            </w:pPr>
            <w:r>
              <w:rPr>
                <w:sz w:val="24"/>
              </w:rPr>
              <w:t>□有</w:t>
            </w:r>
          </w:p>
        </w:tc>
        <w:tc>
          <w:tcPr>
            <w:tcW w:w="1579" w:type="dxa"/>
            <w:gridSpan w:val="4"/>
          </w:tcPr>
          <w:p>
            <w:pPr>
              <w:pStyle w:val="15"/>
              <w:spacing w:before="130"/>
              <w:ind w:left="305"/>
              <w:rPr>
                <w:b/>
                <w:sz w:val="24"/>
              </w:rPr>
            </w:pPr>
            <w:r>
              <w:rPr>
                <w:b/>
                <w:sz w:val="24"/>
              </w:rPr>
              <w:t>主债务人</w:t>
            </w:r>
          </w:p>
        </w:tc>
        <w:tc>
          <w:tcPr>
            <w:tcW w:w="5388" w:type="dxa"/>
            <w:gridSpan w:val="11"/>
          </w:tcPr>
          <w:p>
            <w:pPr>
              <w:pStyle w:val="15"/>
              <w:tabs>
                <w:tab w:val="left" w:pos="2749"/>
              </w:tabs>
              <w:spacing w:before="130"/>
              <w:ind w:left="1069"/>
              <w:rPr>
                <w:sz w:val="24"/>
              </w:rPr>
            </w:pPr>
            <w:r>
              <w:rPr>
                <w:sz w:val="24"/>
              </w:rPr>
              <w:t>□</w:t>
            </w:r>
            <w:r>
              <w:rPr>
                <w:rFonts w:hint="eastAsia"/>
                <w:sz w:val="24"/>
              </w:rPr>
              <w:t>广田集团</w:t>
            </w:r>
            <w:r>
              <w:rPr>
                <w:sz w:val="24"/>
              </w:rPr>
              <w:tab/>
            </w: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985" w:type="dxa"/>
            <w:vMerge w:val="continue"/>
            <w:tcBorders>
              <w:top w:val="nil"/>
            </w:tcBorders>
          </w:tcPr>
          <w:p>
            <w:pPr>
              <w:rPr>
                <w:sz w:val="2"/>
                <w:szCs w:val="2"/>
              </w:rPr>
            </w:pPr>
          </w:p>
        </w:tc>
        <w:tc>
          <w:tcPr>
            <w:tcW w:w="1320" w:type="dxa"/>
            <w:vMerge w:val="continue"/>
            <w:tcBorders>
              <w:top w:val="nil"/>
            </w:tcBorders>
          </w:tcPr>
          <w:p>
            <w:pPr>
              <w:rPr>
                <w:sz w:val="2"/>
                <w:szCs w:val="2"/>
              </w:rPr>
            </w:pPr>
          </w:p>
        </w:tc>
        <w:tc>
          <w:tcPr>
            <w:tcW w:w="1579" w:type="dxa"/>
            <w:gridSpan w:val="4"/>
          </w:tcPr>
          <w:p>
            <w:pPr>
              <w:pStyle w:val="15"/>
              <w:spacing w:before="2"/>
              <w:ind w:left="185"/>
              <w:rPr>
                <w:b/>
                <w:sz w:val="24"/>
              </w:rPr>
            </w:pPr>
            <w:r>
              <w:rPr>
                <w:b/>
                <w:w w:val="95"/>
                <w:sz w:val="24"/>
              </w:rPr>
              <w:t>担保人名称</w:t>
            </w:r>
          </w:p>
          <w:p>
            <w:pPr>
              <w:pStyle w:val="15"/>
              <w:spacing w:before="4" w:line="289" w:lineRule="exact"/>
              <w:ind w:left="185"/>
              <w:rPr>
                <w:b/>
                <w:sz w:val="24"/>
              </w:rPr>
            </w:pPr>
            <w:r>
              <w:rPr>
                <w:b/>
                <w:w w:val="95"/>
                <w:sz w:val="24"/>
              </w:rPr>
              <w:t>及担保方式</w:t>
            </w:r>
          </w:p>
        </w:tc>
        <w:tc>
          <w:tcPr>
            <w:tcW w:w="5388" w:type="dxa"/>
            <w:gridSpan w:val="11"/>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985" w:type="dxa"/>
            <w:vMerge w:val="continue"/>
            <w:tcBorders>
              <w:top w:val="nil"/>
            </w:tcBorders>
          </w:tcPr>
          <w:p>
            <w:pPr>
              <w:rPr>
                <w:sz w:val="2"/>
                <w:szCs w:val="2"/>
              </w:rPr>
            </w:pPr>
          </w:p>
        </w:tc>
        <w:tc>
          <w:tcPr>
            <w:tcW w:w="1320" w:type="dxa"/>
            <w:vMerge w:val="continue"/>
            <w:tcBorders>
              <w:top w:val="nil"/>
            </w:tcBorders>
          </w:tcPr>
          <w:p>
            <w:pPr>
              <w:rPr>
                <w:sz w:val="2"/>
                <w:szCs w:val="2"/>
              </w:rPr>
            </w:pPr>
          </w:p>
        </w:tc>
        <w:tc>
          <w:tcPr>
            <w:tcW w:w="1579" w:type="dxa"/>
            <w:gridSpan w:val="4"/>
          </w:tcPr>
          <w:p>
            <w:pPr>
              <w:pStyle w:val="15"/>
              <w:spacing w:before="129"/>
              <w:ind w:left="305"/>
              <w:rPr>
                <w:b/>
                <w:sz w:val="24"/>
              </w:rPr>
            </w:pPr>
            <w:r>
              <w:rPr>
                <w:b/>
                <w:sz w:val="24"/>
              </w:rPr>
              <w:t>担保金额</w:t>
            </w:r>
          </w:p>
        </w:tc>
        <w:tc>
          <w:tcPr>
            <w:tcW w:w="5388" w:type="dxa"/>
            <w:gridSpan w:val="11"/>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85" w:type="dxa"/>
            <w:vMerge w:val="continue"/>
            <w:tcBorders>
              <w:top w:val="nil"/>
            </w:tcBorders>
          </w:tcPr>
          <w:p>
            <w:pPr>
              <w:rPr>
                <w:sz w:val="2"/>
                <w:szCs w:val="2"/>
              </w:rPr>
            </w:pPr>
          </w:p>
        </w:tc>
        <w:tc>
          <w:tcPr>
            <w:tcW w:w="1320" w:type="dxa"/>
            <w:vMerge w:val="continue"/>
            <w:tcBorders>
              <w:top w:val="nil"/>
            </w:tcBorders>
          </w:tcPr>
          <w:p>
            <w:pPr>
              <w:rPr>
                <w:sz w:val="2"/>
                <w:szCs w:val="2"/>
              </w:rPr>
            </w:pPr>
          </w:p>
        </w:tc>
        <w:tc>
          <w:tcPr>
            <w:tcW w:w="1579" w:type="dxa"/>
            <w:gridSpan w:val="4"/>
          </w:tcPr>
          <w:p>
            <w:pPr>
              <w:pStyle w:val="15"/>
              <w:spacing w:before="129"/>
              <w:ind w:left="305"/>
              <w:rPr>
                <w:b/>
                <w:sz w:val="24"/>
              </w:rPr>
            </w:pPr>
            <w:r>
              <w:rPr>
                <w:b/>
                <w:sz w:val="24"/>
              </w:rPr>
              <w:t>担保形式</w:t>
            </w:r>
          </w:p>
        </w:tc>
        <w:tc>
          <w:tcPr>
            <w:tcW w:w="5388" w:type="dxa"/>
            <w:gridSpan w:val="11"/>
          </w:tcPr>
          <w:p>
            <w:pPr>
              <w:pStyle w:val="15"/>
              <w:tabs>
                <w:tab w:val="left" w:pos="2228"/>
                <w:tab w:val="left" w:pos="3428"/>
              </w:tabs>
              <w:spacing w:before="129"/>
              <w:ind w:left="1028"/>
              <w:rPr>
                <w:sz w:val="24"/>
              </w:rPr>
            </w:pPr>
            <w:r>
              <w:rPr>
                <w:sz w:val="24"/>
              </w:rPr>
              <w:t>□保证</w:t>
            </w:r>
            <w:r>
              <w:rPr>
                <w:sz w:val="24"/>
              </w:rPr>
              <w:tab/>
            </w:r>
            <w:r>
              <w:rPr>
                <w:sz w:val="24"/>
              </w:rPr>
              <w:t>□抵押</w:t>
            </w:r>
            <w:r>
              <w:rPr>
                <w:sz w:val="24"/>
              </w:rPr>
              <w:tab/>
            </w:r>
            <w:r>
              <w:rPr>
                <w:sz w:val="24"/>
              </w:rPr>
              <w:t>□质押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985" w:type="dxa"/>
          </w:tcPr>
          <w:p>
            <w:pPr>
              <w:pStyle w:val="15"/>
              <w:spacing w:line="310" w:lineRule="atLeast"/>
              <w:ind w:left="389" w:right="137" w:hanging="241"/>
              <w:rPr>
                <w:b/>
                <w:sz w:val="24"/>
              </w:rPr>
            </w:pPr>
            <w:r>
              <w:rPr>
                <w:b/>
                <w:sz w:val="24"/>
              </w:rPr>
              <w:t>有无判决、裁定或仲裁裁决</w:t>
            </w:r>
          </w:p>
        </w:tc>
        <w:tc>
          <w:tcPr>
            <w:tcW w:w="2899" w:type="dxa"/>
            <w:gridSpan w:val="5"/>
          </w:tcPr>
          <w:p>
            <w:pPr>
              <w:pStyle w:val="15"/>
              <w:spacing w:before="156"/>
              <w:ind w:left="489"/>
              <w:rPr>
                <w:rFonts w:ascii="Times New Roman"/>
                <w:sz w:val="24"/>
              </w:rPr>
            </w:pPr>
            <w:r>
              <w:rPr>
                <w:sz w:val="24"/>
              </w:rPr>
              <w:t>□无</w:t>
            </w:r>
            <w:r>
              <w:rPr>
                <w:rFonts w:hint="eastAsia"/>
                <w:sz w:val="24"/>
                <w:lang w:val="en-US"/>
              </w:rPr>
              <w:t xml:space="preserve">       </w:t>
            </w:r>
            <w:r>
              <w:rPr>
                <w:sz w:val="24"/>
              </w:rPr>
              <w:t>□有</w:t>
            </w:r>
          </w:p>
        </w:tc>
        <w:tc>
          <w:tcPr>
            <w:tcW w:w="1748" w:type="dxa"/>
            <w:gridSpan w:val="5"/>
          </w:tcPr>
          <w:p>
            <w:pPr>
              <w:pStyle w:val="15"/>
              <w:spacing w:before="156"/>
              <w:ind w:left="156"/>
              <w:rPr>
                <w:b/>
                <w:sz w:val="24"/>
              </w:rPr>
            </w:pPr>
            <w:r>
              <w:rPr>
                <w:b/>
                <w:sz w:val="24"/>
              </w:rPr>
              <w:t>有无申请执行</w:t>
            </w:r>
          </w:p>
        </w:tc>
        <w:tc>
          <w:tcPr>
            <w:tcW w:w="3640" w:type="dxa"/>
            <w:gridSpan w:val="6"/>
          </w:tcPr>
          <w:p>
            <w:pPr>
              <w:pStyle w:val="15"/>
              <w:tabs>
                <w:tab w:val="left" w:pos="2199"/>
              </w:tabs>
              <w:spacing w:before="156"/>
              <w:ind w:left="758"/>
              <w:rPr>
                <w:sz w:val="24"/>
              </w:rPr>
            </w:pPr>
            <w:r>
              <w:rPr>
                <w:sz w:val="24"/>
              </w:rPr>
              <w:t>□无</w:t>
            </w:r>
            <w:r>
              <w:rPr>
                <w:sz w:val="24"/>
              </w:rPr>
              <w:tab/>
            </w:r>
            <w:r>
              <w:rPr>
                <w:sz w:val="24"/>
              </w:rPr>
              <w:t>□有</w:t>
            </w:r>
          </w:p>
        </w:tc>
      </w:tr>
    </w:tbl>
    <w:p>
      <w:pPr>
        <w:rPr>
          <w:sz w:val="24"/>
        </w:rPr>
        <w:sectPr>
          <w:type w:val="continuous"/>
          <w:pgSz w:w="11910" w:h="16840"/>
          <w:pgMar w:top="1380" w:right="800" w:bottom="1180" w:left="800" w:header="720" w:footer="720" w:gutter="0"/>
          <w:cols w:space="720" w:num="1"/>
        </w:sectPr>
      </w:pPr>
    </w:p>
    <w:tbl>
      <w:tblPr>
        <w:tblStyle w:val="9"/>
        <w:tblW w:w="10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8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jc w:val="center"/>
        </w:trPr>
        <w:tc>
          <w:tcPr>
            <w:tcW w:w="1985" w:type="dxa"/>
          </w:tcPr>
          <w:p>
            <w:pPr>
              <w:pStyle w:val="15"/>
              <w:rPr>
                <w:rFonts w:ascii="华文中宋"/>
                <w:b/>
                <w:sz w:val="24"/>
              </w:rPr>
            </w:pPr>
          </w:p>
          <w:p>
            <w:pPr>
              <w:pStyle w:val="15"/>
              <w:spacing w:before="5"/>
              <w:rPr>
                <w:rFonts w:ascii="华文中宋"/>
                <w:b/>
                <w:sz w:val="15"/>
              </w:rPr>
            </w:pPr>
          </w:p>
          <w:p>
            <w:pPr>
              <w:pStyle w:val="15"/>
              <w:ind w:left="247" w:right="240"/>
              <w:jc w:val="center"/>
              <w:rPr>
                <w:b/>
                <w:sz w:val="24"/>
              </w:rPr>
            </w:pPr>
            <w:r>
              <w:rPr>
                <w:b/>
                <w:sz w:val="24"/>
              </w:rPr>
              <w:t>信息确认</w:t>
            </w:r>
          </w:p>
        </w:tc>
        <w:tc>
          <w:tcPr>
            <w:tcW w:w="8519" w:type="dxa"/>
          </w:tcPr>
          <w:p>
            <w:pPr>
              <w:pStyle w:val="15"/>
              <w:spacing w:before="2" w:line="242" w:lineRule="auto"/>
              <w:ind w:left="108" w:right="95"/>
              <w:jc w:val="both"/>
              <w:rPr>
                <w:sz w:val="24"/>
              </w:rPr>
            </w:pPr>
            <w:r>
              <w:rPr>
                <w:spacing w:val="-2"/>
                <w:sz w:val="24"/>
              </w:rPr>
              <w:t>申报人已收悉</w:t>
            </w:r>
            <w:r>
              <w:rPr>
                <w:rFonts w:hint="eastAsia"/>
                <w:spacing w:val="-2"/>
                <w:sz w:val="24"/>
              </w:rPr>
              <w:t>（2022）粤03破申879号</w:t>
            </w:r>
            <w:r>
              <w:rPr>
                <w:spacing w:val="-13"/>
                <w:sz w:val="24"/>
              </w:rPr>
              <w:t>《决定书》《</w:t>
            </w:r>
            <w:r>
              <w:rPr>
                <w:rFonts w:hint="eastAsia"/>
                <w:spacing w:val="-13"/>
                <w:sz w:val="24"/>
              </w:rPr>
              <w:t>深圳广田集团股份有限公司</w:t>
            </w:r>
            <w:r>
              <w:rPr>
                <w:spacing w:val="-5"/>
                <w:sz w:val="24"/>
              </w:rPr>
              <w:t>预重整债权申报指引》及其附件。本申报人确认上述信息</w:t>
            </w:r>
            <w:r>
              <w:rPr>
                <w:sz w:val="24"/>
              </w:rPr>
              <w:t>（</w:t>
            </w:r>
            <w:r>
              <w:rPr>
                <w:spacing w:val="-3"/>
                <w:sz w:val="24"/>
              </w:rPr>
              <w:t>包括但不限</w:t>
            </w:r>
            <w:r>
              <w:rPr>
                <w:spacing w:val="-6"/>
                <w:sz w:val="24"/>
              </w:rPr>
              <w:t>于主体资格、委托代理人姓名、手机号码及电子邮箱等全部信息</w:t>
            </w:r>
            <w:r>
              <w:rPr>
                <w:spacing w:val="-20"/>
                <w:sz w:val="24"/>
              </w:rPr>
              <w:t>）</w:t>
            </w:r>
            <w:r>
              <w:rPr>
                <w:spacing w:val="-4"/>
                <w:sz w:val="24"/>
              </w:rPr>
              <w:t>均真实有</w:t>
            </w:r>
            <w:r>
              <w:rPr>
                <w:spacing w:val="-9"/>
                <w:sz w:val="24"/>
              </w:rPr>
              <w:t>效，可作为</w:t>
            </w:r>
            <w:r>
              <w:rPr>
                <w:rFonts w:hint="eastAsia"/>
                <w:spacing w:val="-9"/>
                <w:sz w:val="24"/>
              </w:rPr>
              <w:t>临时管理人</w:t>
            </w:r>
            <w:r>
              <w:rPr>
                <w:spacing w:val="-9"/>
                <w:sz w:val="24"/>
              </w:rPr>
              <w:t>核实申报人身份的唯一凭证，如因信息不全或信息</w:t>
            </w:r>
            <w:r>
              <w:rPr>
                <w:sz w:val="24"/>
              </w:rPr>
              <w:t>有误造成任何不利后果，均由申报人自行承担。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3" w:hRule="atLeast"/>
          <w:jc w:val="center"/>
        </w:trPr>
        <w:tc>
          <w:tcPr>
            <w:tcW w:w="1985" w:type="dxa"/>
          </w:tcPr>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rPr>
                <w:rFonts w:ascii="华文中宋"/>
                <w:b/>
                <w:sz w:val="24"/>
              </w:rPr>
            </w:pPr>
          </w:p>
          <w:p>
            <w:pPr>
              <w:pStyle w:val="15"/>
              <w:spacing w:before="4"/>
              <w:rPr>
                <w:rFonts w:ascii="华文中宋"/>
                <w:b/>
                <w:sz w:val="31"/>
              </w:rPr>
            </w:pPr>
          </w:p>
          <w:p>
            <w:pPr>
              <w:pStyle w:val="15"/>
              <w:ind w:left="247" w:right="235"/>
              <w:jc w:val="center"/>
              <w:rPr>
                <w:b/>
                <w:sz w:val="24"/>
              </w:rPr>
            </w:pPr>
            <w:r>
              <w:rPr>
                <w:b/>
                <w:sz w:val="24"/>
              </w:rPr>
              <w:t>备注</w:t>
            </w:r>
          </w:p>
        </w:tc>
        <w:tc>
          <w:tcPr>
            <w:tcW w:w="8519" w:type="dxa"/>
          </w:tcPr>
          <w:p>
            <w:pPr>
              <w:pStyle w:val="15"/>
              <w:ind w:left="108"/>
              <w:rPr>
                <w:b/>
                <w:sz w:val="24"/>
              </w:rPr>
            </w:pPr>
            <w:r>
              <w:rPr>
                <w:b/>
                <w:sz w:val="24"/>
              </w:rPr>
              <w:t>本申报人知悉并同意以下事项：</w:t>
            </w:r>
          </w:p>
          <w:p>
            <w:pPr>
              <w:pStyle w:val="15"/>
              <w:numPr>
                <w:ilvl w:val="0"/>
                <w:numId w:val="3"/>
              </w:numPr>
              <w:tabs>
                <w:tab w:val="left" w:pos="334"/>
              </w:tabs>
              <w:spacing w:before="4" w:line="242" w:lineRule="auto"/>
              <w:ind w:right="98" w:firstLine="0"/>
              <w:jc w:val="both"/>
              <w:rPr>
                <w:sz w:val="24"/>
              </w:rPr>
            </w:pPr>
            <w:r>
              <w:rPr>
                <w:spacing w:val="-3"/>
                <w:sz w:val="24"/>
              </w:rPr>
              <w:t>填写本表不构成</w:t>
            </w:r>
            <w:r>
              <w:rPr>
                <w:rFonts w:hint="eastAsia"/>
                <w:spacing w:val="-3"/>
                <w:sz w:val="24"/>
              </w:rPr>
              <w:t>临时管理人</w:t>
            </w:r>
            <w:r>
              <w:rPr>
                <w:spacing w:val="-3"/>
                <w:sz w:val="24"/>
              </w:rPr>
              <w:t>对于本人所申报债权真实性、有效性以及合</w:t>
            </w:r>
            <w:r>
              <w:rPr>
                <w:sz w:val="24"/>
              </w:rPr>
              <w:t>法性的确认，也不视为对已超过诉讼时效期间的债权的重新确认。</w:t>
            </w:r>
          </w:p>
          <w:p>
            <w:pPr>
              <w:pStyle w:val="15"/>
              <w:numPr>
                <w:ilvl w:val="0"/>
                <w:numId w:val="3"/>
              </w:numPr>
              <w:tabs>
                <w:tab w:val="left" w:pos="334"/>
              </w:tabs>
              <w:spacing w:before="3" w:line="242" w:lineRule="auto"/>
              <w:ind w:right="96" w:firstLine="0"/>
              <w:jc w:val="both"/>
              <w:rPr>
                <w:sz w:val="24"/>
              </w:rPr>
            </w:pPr>
            <w:r>
              <w:rPr>
                <w:spacing w:val="-7"/>
                <w:sz w:val="24"/>
              </w:rPr>
              <w:t>本申报人已全面、完整地知悉本次债权登记有关要求并保证向</w:t>
            </w:r>
            <w:r>
              <w:rPr>
                <w:rFonts w:hint="eastAsia"/>
                <w:spacing w:val="-7"/>
                <w:sz w:val="24"/>
              </w:rPr>
              <w:t>临时管理人</w:t>
            </w:r>
            <w:r>
              <w:rPr>
                <w:spacing w:val="-6"/>
                <w:sz w:val="24"/>
              </w:rPr>
              <w:t>提供的资料及情况真实、准确、完整，否则，一切法律责任和后果由申报</w:t>
            </w:r>
            <w:r>
              <w:rPr>
                <w:sz w:val="24"/>
              </w:rPr>
              <w:t>人承担。</w:t>
            </w:r>
          </w:p>
          <w:p>
            <w:pPr>
              <w:pStyle w:val="15"/>
              <w:numPr>
                <w:ilvl w:val="0"/>
                <w:numId w:val="3"/>
              </w:numPr>
              <w:tabs>
                <w:tab w:val="left" w:pos="334"/>
              </w:tabs>
              <w:spacing w:before="2" w:line="242" w:lineRule="auto"/>
              <w:ind w:right="91" w:firstLine="0"/>
              <w:jc w:val="both"/>
              <w:rPr>
                <w:sz w:val="24"/>
              </w:rPr>
            </w:pPr>
            <w:r>
              <w:rPr>
                <w:b/>
                <w:spacing w:val="-3"/>
                <w:sz w:val="24"/>
                <w:u w:val="single"/>
              </w:rPr>
              <w:t>如人民法院裁定正式受理</w:t>
            </w:r>
            <w:r>
              <w:rPr>
                <w:rFonts w:hint="eastAsia"/>
                <w:b/>
                <w:spacing w:val="-3"/>
                <w:sz w:val="24"/>
                <w:u w:val="single"/>
              </w:rPr>
              <w:t>深圳广田集团股份有限公司</w:t>
            </w:r>
            <w:r>
              <w:rPr>
                <w:b/>
                <w:spacing w:val="-3"/>
                <w:sz w:val="24"/>
                <w:u w:val="single"/>
              </w:rPr>
              <w:t>重整，本次债权申报</w:t>
            </w:r>
            <w:r>
              <w:rPr>
                <w:b/>
                <w:spacing w:val="-11"/>
                <w:sz w:val="24"/>
                <w:u w:val="single"/>
              </w:rPr>
              <w:t>在重整程序中继续有效，预重整期间本申报人认可</w:t>
            </w:r>
            <w:r>
              <w:rPr>
                <w:rFonts w:hint="eastAsia"/>
                <w:b/>
                <w:spacing w:val="-11"/>
                <w:sz w:val="24"/>
                <w:u w:val="single"/>
              </w:rPr>
              <w:t>临时管理人</w:t>
            </w:r>
            <w:r>
              <w:rPr>
                <w:b/>
                <w:spacing w:val="-11"/>
                <w:sz w:val="24"/>
                <w:u w:val="single"/>
              </w:rPr>
              <w:t>作出的对</w:t>
            </w:r>
            <w:r>
              <w:rPr>
                <w:rFonts w:hint="eastAsia"/>
                <w:b/>
                <w:spacing w:val="-11"/>
                <w:sz w:val="24"/>
                <w:u w:val="single"/>
                <w:lang w:val="en-US"/>
              </w:rPr>
              <w:t>法律关系</w:t>
            </w:r>
            <w:r>
              <w:rPr>
                <w:b/>
                <w:spacing w:val="-11"/>
                <w:sz w:val="24"/>
                <w:u w:val="single"/>
              </w:rPr>
              <w:t>成立与否、债权性质、债权本金、截至人民法院启动预重整程序之日利息（如有）</w:t>
            </w:r>
            <w:r>
              <w:rPr>
                <w:rFonts w:hint="eastAsia"/>
                <w:b/>
                <w:spacing w:val="-11"/>
                <w:sz w:val="24"/>
                <w:u w:val="single"/>
                <w:lang w:val="en-US"/>
              </w:rPr>
              <w:t>等</w:t>
            </w:r>
            <w:r>
              <w:rPr>
                <w:b/>
                <w:spacing w:val="-11"/>
                <w:sz w:val="24"/>
                <w:u w:val="single"/>
              </w:rPr>
              <w:t>的审查和确认与正式重整程序中具有同等法律效力。债权人基本</w:t>
            </w:r>
            <w:r>
              <w:rPr>
                <w:b/>
                <w:spacing w:val="-9"/>
                <w:sz w:val="24"/>
                <w:u w:val="single"/>
              </w:rPr>
              <w:t>信息、申报债权信息等各项内容将继续适用于</w:t>
            </w:r>
            <w:r>
              <w:rPr>
                <w:rFonts w:hint="eastAsia"/>
                <w:b/>
                <w:spacing w:val="-9"/>
                <w:sz w:val="24"/>
                <w:u w:val="single"/>
                <w:lang w:val="en-US"/>
              </w:rPr>
              <w:t>破产</w:t>
            </w:r>
            <w:r>
              <w:rPr>
                <w:b/>
                <w:spacing w:val="-9"/>
                <w:sz w:val="24"/>
                <w:u w:val="single"/>
              </w:rPr>
              <w:t>重整程序。</w:t>
            </w:r>
            <w:r>
              <w:rPr>
                <w:spacing w:val="-1"/>
                <w:sz w:val="24"/>
              </w:rPr>
              <w:t>如召开债权人会议</w:t>
            </w:r>
            <w:r>
              <w:rPr>
                <w:spacing w:val="-8"/>
                <w:sz w:val="24"/>
              </w:rPr>
              <w:t>，本申报人同意将“债权人收件信息”中所列手机号码用于接收重整程序中</w:t>
            </w:r>
            <w:r>
              <w:rPr>
                <w:spacing w:val="-12"/>
                <w:sz w:val="24"/>
              </w:rPr>
              <w:t>债权人会议的相关信息，本申报人保证提供的此手机号码通讯畅通。预重整</w:t>
            </w:r>
            <w:r>
              <w:rPr>
                <w:sz w:val="24"/>
              </w:rPr>
              <w:t>期间拟定的重整方案与重整程序中制作的重整计划草案的基本内容一致的</w:t>
            </w:r>
            <w:r>
              <w:rPr>
                <w:spacing w:val="-7"/>
                <w:sz w:val="24"/>
              </w:rPr>
              <w:t>，本申报人对重整方案的同意视为对重整计划草案表决同意，除非重整计划</w:t>
            </w:r>
            <w:r>
              <w:rPr>
                <w:spacing w:val="1"/>
                <w:sz w:val="24"/>
              </w:rPr>
              <w:t>草案对重整方案的内容进行了修改并对相关权利人产生不利影响或重整方</w:t>
            </w:r>
            <w:r>
              <w:rPr>
                <w:spacing w:val="-3"/>
                <w:sz w:val="24"/>
              </w:rPr>
              <w:t>案表决前</w:t>
            </w:r>
            <w:r>
              <w:rPr>
                <w:rFonts w:hint="eastAsia"/>
                <w:spacing w:val="-3"/>
                <w:sz w:val="24"/>
              </w:rPr>
              <w:t>深圳广田集团股份有限公司</w:t>
            </w:r>
            <w:r>
              <w:rPr>
                <w:spacing w:val="-3"/>
                <w:sz w:val="24"/>
              </w:rPr>
              <w:t>隐瞒重要信息、披露虚假信息，或者重整方案表决后出现重大变化，影响权利人表决。</w:t>
            </w:r>
          </w:p>
          <w:p>
            <w:pPr>
              <w:pStyle w:val="15"/>
              <w:numPr>
                <w:ilvl w:val="0"/>
                <w:numId w:val="3"/>
              </w:numPr>
              <w:tabs>
                <w:tab w:val="left" w:pos="334"/>
              </w:tabs>
              <w:spacing w:before="8" w:line="242" w:lineRule="auto"/>
              <w:ind w:right="95" w:firstLine="0"/>
              <w:jc w:val="both"/>
              <w:rPr>
                <w:sz w:val="24"/>
              </w:rPr>
            </w:pPr>
            <w:r>
              <w:rPr>
                <w:spacing w:val="-4"/>
                <w:sz w:val="24"/>
              </w:rPr>
              <w:t>本申报人提供的上述送达信息真实、准确。如上述送达信息发生变动，本申报人将及时通过书面形式通知</w:t>
            </w:r>
            <w:r>
              <w:rPr>
                <w:rFonts w:hint="eastAsia"/>
                <w:spacing w:val="-4"/>
                <w:sz w:val="24"/>
              </w:rPr>
              <w:t>临时管理人</w:t>
            </w:r>
            <w:r>
              <w:rPr>
                <w:spacing w:val="-4"/>
                <w:sz w:val="24"/>
              </w:rPr>
              <w:t>。</w:t>
            </w:r>
            <w:r>
              <w:rPr>
                <w:rFonts w:hint="eastAsia"/>
                <w:spacing w:val="-4"/>
                <w:sz w:val="24"/>
              </w:rPr>
              <w:t>临时管理人</w:t>
            </w:r>
            <w:r>
              <w:rPr>
                <w:spacing w:val="-4"/>
                <w:sz w:val="24"/>
              </w:rPr>
              <w:t>向本申报人送</w:t>
            </w:r>
            <w:r>
              <w:rPr>
                <w:spacing w:val="-6"/>
                <w:sz w:val="24"/>
              </w:rPr>
              <w:t>达相关文件资料，可以采用邮寄送达，邮件签收日期为送达日期；也可以采</w:t>
            </w:r>
            <w:r>
              <w:rPr>
                <w:spacing w:val="-4"/>
                <w:sz w:val="24"/>
              </w:rPr>
              <w:t>用电子邮件等能够确认本申报人收悉的方式送达，电子邮件进入债权人电子</w:t>
            </w:r>
            <w:r>
              <w:rPr>
                <w:sz w:val="24"/>
              </w:rPr>
              <w:t>邮箱日期为送达日期。</w:t>
            </w:r>
          </w:p>
          <w:p>
            <w:pPr>
              <w:pStyle w:val="15"/>
              <w:numPr>
                <w:ilvl w:val="0"/>
                <w:numId w:val="3"/>
              </w:numPr>
              <w:tabs>
                <w:tab w:val="left" w:pos="334"/>
              </w:tabs>
              <w:spacing w:before="3" w:line="242" w:lineRule="auto"/>
              <w:ind w:right="96" w:firstLine="0"/>
              <w:jc w:val="both"/>
              <w:rPr>
                <w:sz w:val="24"/>
              </w:rPr>
            </w:pPr>
            <w:r>
              <w:rPr>
                <w:spacing w:val="-4"/>
                <w:sz w:val="24"/>
              </w:rPr>
              <w:t>因本申报人提供的上述送达信息不准确、送达信息变更后未及时通知</w:t>
            </w:r>
            <w:r>
              <w:rPr>
                <w:rFonts w:hint="eastAsia"/>
                <w:spacing w:val="-4"/>
                <w:sz w:val="24"/>
              </w:rPr>
              <w:t>临时管理人</w:t>
            </w:r>
            <w:r>
              <w:rPr>
                <w:spacing w:val="-9"/>
                <w:sz w:val="24"/>
              </w:rPr>
              <w:t>、收件人拒绝签收等原因，导致相关文件资料或信息未能被本申报</w:t>
            </w:r>
            <w:r>
              <w:rPr>
                <w:sz w:val="24"/>
              </w:rPr>
              <w:t>人实际接收，快递退件之日或信息发送之日视为送达之日。</w:t>
            </w:r>
          </w:p>
          <w:p>
            <w:pPr>
              <w:pStyle w:val="15"/>
              <w:numPr>
                <w:ilvl w:val="0"/>
                <w:numId w:val="3"/>
              </w:numPr>
              <w:tabs>
                <w:tab w:val="left" w:pos="348"/>
              </w:tabs>
              <w:spacing w:before="1"/>
              <w:ind w:left="348" w:hanging="240"/>
              <w:jc w:val="both"/>
              <w:rPr>
                <w:sz w:val="24"/>
              </w:rPr>
            </w:pPr>
            <w:r>
              <w:rPr>
                <w:sz w:val="24"/>
              </w:rPr>
              <w:t>本表应另附债权成立、合法、有效的相关书面材料。</w:t>
            </w:r>
          </w:p>
          <w:p>
            <w:pPr>
              <w:pStyle w:val="15"/>
              <w:spacing w:before="2"/>
              <w:rPr>
                <w:rFonts w:ascii="华文中宋"/>
                <w:b/>
                <w:sz w:val="35"/>
              </w:rPr>
            </w:pPr>
          </w:p>
          <w:p>
            <w:pPr>
              <w:pStyle w:val="15"/>
              <w:spacing w:line="458" w:lineRule="auto"/>
              <w:ind w:right="2191" w:firstLine="2855" w:firstLineChars="1200"/>
              <w:rPr>
                <w:b/>
                <w:spacing w:val="-8"/>
                <w:w w:val="99"/>
                <w:sz w:val="24"/>
              </w:rPr>
            </w:pPr>
            <w:r>
              <w:rPr>
                <w:b/>
                <w:w w:val="99"/>
                <w:sz w:val="24"/>
              </w:rPr>
              <w:t>申报人</w:t>
            </w:r>
            <w:r>
              <w:rPr>
                <w:b/>
                <w:spacing w:val="2"/>
                <w:w w:val="99"/>
                <w:sz w:val="24"/>
              </w:rPr>
              <w:t>（</w:t>
            </w:r>
            <w:r>
              <w:rPr>
                <w:b/>
                <w:w w:val="99"/>
                <w:sz w:val="24"/>
              </w:rPr>
              <w:t>签字</w:t>
            </w:r>
            <w:r>
              <w:rPr>
                <w:rFonts w:hint="eastAsia"/>
                <w:b/>
                <w:w w:val="99"/>
                <w:sz w:val="24"/>
                <w:lang w:val="en-US"/>
              </w:rPr>
              <w:t>/盖章</w:t>
            </w:r>
            <w:r>
              <w:rPr>
                <w:b/>
                <w:spacing w:val="-125"/>
                <w:w w:val="99"/>
                <w:sz w:val="24"/>
              </w:rPr>
              <w:t>）</w:t>
            </w:r>
            <w:r>
              <w:rPr>
                <w:b/>
                <w:spacing w:val="-8"/>
                <w:w w:val="99"/>
                <w:sz w:val="24"/>
              </w:rPr>
              <w:t>：</w:t>
            </w:r>
          </w:p>
          <w:p>
            <w:pPr>
              <w:pStyle w:val="15"/>
              <w:spacing w:line="458" w:lineRule="auto"/>
              <w:ind w:right="2191" w:firstLine="2663" w:firstLineChars="1200"/>
              <w:rPr>
                <w:b/>
                <w:spacing w:val="-8"/>
                <w:w w:val="99"/>
                <w:sz w:val="24"/>
                <w:lang w:val="en-US"/>
              </w:rPr>
            </w:pPr>
            <w:r>
              <w:rPr>
                <w:rFonts w:hint="eastAsia"/>
                <w:b/>
                <w:spacing w:val="-8"/>
                <w:w w:val="99"/>
                <w:sz w:val="24"/>
                <w:lang w:val="en-US"/>
              </w:rPr>
              <w:t>法定代表人/负责人（签字）：</w:t>
            </w:r>
          </w:p>
          <w:p>
            <w:pPr>
              <w:pStyle w:val="15"/>
              <w:spacing w:line="458" w:lineRule="auto"/>
              <w:ind w:right="2191" w:firstLine="2891" w:firstLineChars="1200"/>
              <w:rPr>
                <w:b/>
                <w:sz w:val="24"/>
              </w:rPr>
            </w:pPr>
            <w:r>
              <w:rPr>
                <w:b/>
                <w:sz w:val="24"/>
              </w:rPr>
              <w:t>委托代理人</w:t>
            </w:r>
            <w:r>
              <w:rPr>
                <w:rFonts w:hint="eastAsia"/>
                <w:b/>
                <w:sz w:val="24"/>
              </w:rPr>
              <w:t>（</w:t>
            </w:r>
            <w:r>
              <w:rPr>
                <w:b/>
                <w:sz w:val="24"/>
              </w:rPr>
              <w:t>签字</w:t>
            </w:r>
            <w:r>
              <w:rPr>
                <w:rFonts w:hint="eastAsia"/>
                <w:b/>
                <w:sz w:val="24"/>
              </w:rPr>
              <w:t>）</w:t>
            </w:r>
            <w:r>
              <w:rPr>
                <w:b/>
                <w:sz w:val="24"/>
              </w:rPr>
              <w:t>：</w:t>
            </w:r>
          </w:p>
          <w:p>
            <w:pPr>
              <w:pStyle w:val="15"/>
              <w:tabs>
                <w:tab w:val="left" w:pos="5446"/>
                <w:tab w:val="left" w:pos="6227"/>
                <w:tab w:val="left" w:pos="7009"/>
              </w:tabs>
              <w:spacing w:line="291" w:lineRule="exact"/>
              <w:ind w:firstLine="2891" w:firstLineChars="1200"/>
              <w:rPr>
                <w:b/>
                <w:sz w:val="24"/>
              </w:rPr>
            </w:pPr>
            <w:r>
              <w:rPr>
                <w:b/>
                <w:sz w:val="24"/>
              </w:rPr>
              <w:t>申报日期：</w:t>
            </w:r>
            <w:r>
              <w:rPr>
                <w:rFonts w:hint="eastAsia"/>
                <w:b/>
                <w:sz w:val="24"/>
                <w:lang w:val="en-US"/>
              </w:rPr>
              <w:t xml:space="preserve">     </w:t>
            </w:r>
            <w:r>
              <w:rPr>
                <w:b/>
                <w:sz w:val="24"/>
              </w:rPr>
              <w:t>年</w:t>
            </w:r>
            <w:r>
              <w:rPr>
                <w:b/>
                <w:sz w:val="24"/>
              </w:rPr>
              <w:tab/>
            </w:r>
            <w:r>
              <w:rPr>
                <w:b/>
                <w:sz w:val="24"/>
              </w:rPr>
              <w:t>月</w:t>
            </w:r>
            <w:r>
              <w:rPr>
                <w:b/>
                <w:sz w:val="24"/>
              </w:rPr>
              <w:tab/>
            </w:r>
            <w:r>
              <w:rPr>
                <w:b/>
                <w:sz w:val="24"/>
              </w:rPr>
              <w:t>日</w:t>
            </w:r>
          </w:p>
        </w:tc>
      </w:tr>
    </w:tbl>
    <w:p>
      <w:pPr>
        <w:pStyle w:val="6"/>
        <w:spacing w:before="14"/>
        <w:rPr>
          <w:rFonts w:ascii="华文中宋"/>
          <w:b/>
          <w:sz w:val="4"/>
        </w:rPr>
      </w:pPr>
    </w:p>
    <w:p>
      <w:pPr>
        <w:spacing w:before="66"/>
        <w:ind w:left="356"/>
        <w:rPr>
          <w:b/>
          <w:sz w:val="24"/>
        </w:rPr>
      </w:pPr>
      <w:r>
        <w:rPr>
          <w:b/>
          <w:sz w:val="24"/>
        </w:rPr>
        <w:t>填表说明：</w:t>
      </w:r>
    </w:p>
    <w:p>
      <w:pPr>
        <w:pStyle w:val="14"/>
        <w:numPr>
          <w:ilvl w:val="0"/>
          <w:numId w:val="4"/>
        </w:numPr>
        <w:tabs>
          <w:tab w:val="left" w:pos="1241"/>
        </w:tabs>
        <w:spacing w:before="187"/>
        <w:ind w:left="567" w:firstLine="480" w:firstLineChars="200"/>
        <w:rPr>
          <w:sz w:val="24"/>
        </w:rPr>
      </w:pPr>
      <w:r>
        <w:rPr>
          <w:sz w:val="24"/>
        </w:rPr>
        <w:t>本表</w:t>
      </w:r>
      <w:r>
        <w:rPr>
          <w:b/>
          <w:sz w:val="24"/>
          <w:u w:val="single"/>
        </w:rPr>
        <w:t>双面打印</w:t>
      </w:r>
      <w:r>
        <w:rPr>
          <w:spacing w:val="-17"/>
          <w:sz w:val="24"/>
        </w:rPr>
        <w:t>于一张</w:t>
      </w:r>
      <w:r>
        <w:rPr>
          <w:rFonts w:ascii="Times New Roman" w:eastAsia="Times New Roman"/>
          <w:sz w:val="24"/>
        </w:rPr>
        <w:t>A4</w:t>
      </w:r>
      <w:r>
        <w:rPr>
          <w:sz w:val="24"/>
        </w:rPr>
        <w:t>型纸；</w:t>
      </w:r>
    </w:p>
    <w:p>
      <w:pPr>
        <w:pStyle w:val="14"/>
        <w:numPr>
          <w:ilvl w:val="0"/>
          <w:numId w:val="4"/>
        </w:numPr>
        <w:tabs>
          <w:tab w:val="left" w:pos="1241"/>
        </w:tabs>
        <w:spacing w:before="5"/>
        <w:ind w:left="567" w:firstLine="480" w:firstLineChars="200"/>
        <w:rPr>
          <w:sz w:val="24"/>
        </w:rPr>
      </w:pPr>
      <w:r>
        <w:rPr>
          <w:sz w:val="24"/>
        </w:rPr>
        <w:t>表格首部“申报人编号”由</w:t>
      </w:r>
      <w:r>
        <w:rPr>
          <w:rFonts w:hint="eastAsia"/>
          <w:b/>
          <w:sz w:val="24"/>
          <w:u w:val="single"/>
        </w:rPr>
        <w:t>临时管理人</w:t>
      </w:r>
      <w:r>
        <w:rPr>
          <w:spacing w:val="-2"/>
          <w:sz w:val="24"/>
        </w:rPr>
        <w:t>填写，债权人无需填写；</w:t>
      </w:r>
    </w:p>
    <w:p>
      <w:pPr>
        <w:pStyle w:val="14"/>
        <w:numPr>
          <w:ilvl w:val="0"/>
          <w:numId w:val="4"/>
        </w:numPr>
        <w:tabs>
          <w:tab w:val="left" w:pos="1241"/>
        </w:tabs>
        <w:spacing w:before="5"/>
        <w:ind w:left="567" w:firstLine="480" w:firstLineChars="200"/>
        <w:rPr>
          <w:sz w:val="24"/>
        </w:rPr>
      </w:pPr>
      <w:r>
        <w:rPr>
          <w:sz w:val="24"/>
        </w:rPr>
        <w:t>表格尾部“申报日期”为申报人实际</w:t>
      </w:r>
      <w:r>
        <w:rPr>
          <w:rFonts w:hint="eastAsia"/>
          <w:sz w:val="24"/>
          <w:lang w:val="en-US"/>
        </w:rPr>
        <w:t>交付寄出</w:t>
      </w:r>
      <w:r>
        <w:rPr>
          <w:sz w:val="24"/>
        </w:rPr>
        <w:t>日期</w:t>
      </w:r>
      <w:r>
        <w:rPr>
          <w:rFonts w:hint="eastAsia"/>
          <w:sz w:val="24"/>
        </w:rPr>
        <w:t>（</w:t>
      </w:r>
      <w:r>
        <w:rPr>
          <w:rFonts w:hint="eastAsia"/>
          <w:sz w:val="24"/>
          <w:lang w:val="en-US"/>
        </w:rPr>
        <w:t>邮寄申报</w:t>
      </w:r>
      <w:r>
        <w:rPr>
          <w:rFonts w:hint="eastAsia"/>
          <w:sz w:val="24"/>
        </w:rPr>
        <w:t>）</w:t>
      </w:r>
      <w:r>
        <w:rPr>
          <w:rFonts w:hint="eastAsia"/>
          <w:sz w:val="24"/>
          <w:lang w:val="en-US"/>
        </w:rPr>
        <w:t>或者现场递交日期（现场申报）</w:t>
      </w:r>
      <w:r>
        <w:rPr>
          <w:sz w:val="24"/>
        </w:rPr>
        <w:t>。</w:t>
      </w:r>
    </w:p>
    <w:p>
      <w:pPr>
        <w:rPr>
          <w:sz w:val="24"/>
        </w:rPr>
        <w:sectPr>
          <w:pgSz w:w="11910" w:h="16840"/>
          <w:pgMar w:top="1420" w:right="800" w:bottom="1400" w:left="800" w:header="0" w:footer="1201" w:gutter="0"/>
          <w:cols w:space="720" w:num="1"/>
        </w:sectPr>
      </w:pPr>
    </w:p>
    <w:p>
      <w:pPr>
        <w:pStyle w:val="6"/>
        <w:spacing w:before="1"/>
        <w:rPr>
          <w:sz w:val="12"/>
        </w:rPr>
      </w:pPr>
    </w:p>
    <w:p>
      <w:pPr>
        <w:pStyle w:val="3"/>
        <w:spacing w:line="295" w:lineRule="auto"/>
        <w:ind w:left="3873" w:hanging="1122"/>
      </w:pPr>
      <w:r>
        <w:rPr>
          <w:rFonts w:hint="eastAsia"/>
        </w:rPr>
        <w:t>深圳广田集团股份有限公司</w:t>
      </w:r>
      <w:r>
        <w:t>预重整债权申报材料目录</w:t>
      </w:r>
    </w:p>
    <w:p>
      <w:pPr>
        <w:spacing w:before="254"/>
        <w:ind w:left="292"/>
        <w:rPr>
          <w:b/>
          <w:sz w:val="24"/>
        </w:rPr>
      </w:pPr>
      <w:r>
        <w:rPr>
          <w:b/>
          <w:sz w:val="24"/>
        </w:rPr>
        <w:t>债权申报人名称/姓名：</w:t>
      </w:r>
    </w:p>
    <w:p>
      <w:pPr>
        <w:pStyle w:val="6"/>
        <w:spacing w:before="6" w:after="1"/>
        <w:rPr>
          <w:b/>
          <w:sz w:val="24"/>
        </w:rPr>
      </w:pPr>
    </w:p>
    <w:tbl>
      <w:tblPr>
        <w:tblStyle w:val="9"/>
        <w:tblW w:w="0" w:type="auto"/>
        <w:tblInd w:w="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6827"/>
        <w:gridCol w:w="725"/>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04" w:type="dxa"/>
          </w:tcPr>
          <w:p>
            <w:pPr>
              <w:pStyle w:val="15"/>
              <w:spacing w:before="158"/>
              <w:ind w:left="92" w:right="80"/>
              <w:jc w:val="center"/>
              <w:rPr>
                <w:b/>
                <w:sz w:val="24"/>
              </w:rPr>
            </w:pPr>
            <w:r>
              <w:rPr>
                <w:b/>
                <w:sz w:val="24"/>
              </w:rPr>
              <w:t>序号</w:t>
            </w:r>
          </w:p>
        </w:tc>
        <w:tc>
          <w:tcPr>
            <w:tcW w:w="6827" w:type="dxa"/>
          </w:tcPr>
          <w:p>
            <w:pPr>
              <w:pStyle w:val="15"/>
              <w:spacing w:before="158"/>
              <w:ind w:left="2910" w:right="2902"/>
              <w:jc w:val="center"/>
              <w:rPr>
                <w:b/>
                <w:sz w:val="24"/>
              </w:rPr>
            </w:pPr>
            <w:r>
              <w:rPr>
                <w:b/>
                <w:sz w:val="24"/>
              </w:rPr>
              <w:t>材料名称</w:t>
            </w:r>
          </w:p>
        </w:tc>
        <w:tc>
          <w:tcPr>
            <w:tcW w:w="725" w:type="dxa"/>
          </w:tcPr>
          <w:p>
            <w:pPr>
              <w:pStyle w:val="15"/>
              <w:spacing w:before="158"/>
              <w:ind w:left="119"/>
              <w:rPr>
                <w:b/>
                <w:sz w:val="24"/>
              </w:rPr>
            </w:pPr>
            <w:r>
              <w:rPr>
                <w:b/>
                <w:sz w:val="24"/>
              </w:rPr>
              <w:t>份数</w:t>
            </w:r>
          </w:p>
        </w:tc>
        <w:tc>
          <w:tcPr>
            <w:tcW w:w="720" w:type="dxa"/>
          </w:tcPr>
          <w:p>
            <w:pPr>
              <w:pStyle w:val="15"/>
              <w:spacing w:before="158"/>
              <w:ind w:left="117"/>
              <w:rPr>
                <w:b/>
                <w:sz w:val="24"/>
              </w:rPr>
            </w:pPr>
            <w:r>
              <w:rPr>
                <w:b/>
                <w:sz w:val="24"/>
              </w:rPr>
              <w:t>页数</w:t>
            </w:r>
          </w:p>
        </w:tc>
        <w:tc>
          <w:tcPr>
            <w:tcW w:w="720" w:type="dxa"/>
          </w:tcPr>
          <w:p>
            <w:pPr>
              <w:pStyle w:val="15"/>
              <w:spacing w:before="2"/>
              <w:ind w:left="117"/>
              <w:rPr>
                <w:b/>
                <w:sz w:val="24"/>
              </w:rPr>
            </w:pPr>
            <w:r>
              <w:rPr>
                <w:b/>
                <w:sz w:val="24"/>
              </w:rPr>
              <w:t>是否</w:t>
            </w:r>
          </w:p>
          <w:p>
            <w:pPr>
              <w:pStyle w:val="15"/>
              <w:spacing w:before="4" w:line="289" w:lineRule="exact"/>
              <w:ind w:left="117"/>
              <w:rPr>
                <w:b/>
                <w:sz w:val="24"/>
              </w:rPr>
            </w:pPr>
            <w:r>
              <w:rPr>
                <w:b/>
                <w:sz w:val="24"/>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704" w:type="dxa"/>
          </w:tcPr>
          <w:p>
            <w:pPr>
              <w:pStyle w:val="15"/>
              <w:spacing w:before="179"/>
              <w:ind w:left="7"/>
              <w:jc w:val="center"/>
              <w:rPr>
                <w:rFonts w:ascii="Times New Roman"/>
                <w:sz w:val="24"/>
              </w:rPr>
            </w:pPr>
            <w:r>
              <w:rPr>
                <w:rFonts w:ascii="Times New Roman"/>
                <w:sz w:val="24"/>
              </w:rPr>
              <w:t>1</w:t>
            </w:r>
          </w:p>
        </w:tc>
        <w:tc>
          <w:tcPr>
            <w:tcW w:w="6827" w:type="dxa"/>
          </w:tcPr>
          <w:p>
            <w:pPr>
              <w:pStyle w:val="15"/>
              <w:spacing w:before="179"/>
              <w:ind w:left="107"/>
            </w:pPr>
            <w:r>
              <w:rPr>
                <w:rFonts w:hint="eastAsia"/>
              </w:rPr>
              <w:t>深圳广田集团股份有限公司</w:t>
            </w:r>
            <w:r>
              <w:t>预重整债权申报及参会信息确认表</w:t>
            </w: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spacing w:before="163"/>
              <w:ind w:left="8"/>
              <w:jc w:val="center"/>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04" w:type="dxa"/>
          </w:tcPr>
          <w:p>
            <w:pPr>
              <w:pStyle w:val="15"/>
              <w:spacing w:before="176"/>
              <w:ind w:left="7"/>
              <w:jc w:val="center"/>
              <w:rPr>
                <w:rFonts w:ascii="Times New Roman"/>
                <w:sz w:val="24"/>
              </w:rPr>
            </w:pPr>
            <w:r>
              <w:rPr>
                <w:rFonts w:ascii="Times New Roman"/>
                <w:sz w:val="24"/>
              </w:rPr>
              <w:t>2</w:t>
            </w:r>
          </w:p>
        </w:tc>
        <w:tc>
          <w:tcPr>
            <w:tcW w:w="6827" w:type="dxa"/>
          </w:tcPr>
          <w:p>
            <w:pPr>
              <w:pStyle w:val="15"/>
              <w:spacing w:before="175"/>
              <w:ind w:left="107"/>
            </w:pPr>
            <w:r>
              <w:rPr>
                <w:rFonts w:hint="eastAsia"/>
              </w:rPr>
              <w:t>深圳广田集团股份有限公司</w:t>
            </w:r>
            <w:r>
              <w:t>预重整债权申报书</w:t>
            </w: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spacing w:before="160"/>
              <w:ind w:left="8"/>
              <w:jc w:val="center"/>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7"/>
              <w:jc w:val="center"/>
              <w:rPr>
                <w:rFonts w:ascii="Times New Roman"/>
                <w:sz w:val="24"/>
              </w:rPr>
            </w:pPr>
            <w:r>
              <w:rPr>
                <w:rFonts w:ascii="Times New Roman"/>
                <w:sz w:val="24"/>
              </w:rPr>
              <w:t>3</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7"/>
              <w:jc w:val="center"/>
              <w:rPr>
                <w:rFonts w:ascii="Times New Roman"/>
                <w:sz w:val="24"/>
              </w:rPr>
            </w:pPr>
            <w:r>
              <w:rPr>
                <w:rFonts w:ascii="Times New Roman"/>
                <w:sz w:val="24"/>
              </w:rPr>
              <w:t>4</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04" w:type="dxa"/>
          </w:tcPr>
          <w:p>
            <w:pPr>
              <w:pStyle w:val="15"/>
              <w:spacing w:before="176"/>
              <w:ind w:left="7"/>
              <w:jc w:val="center"/>
              <w:rPr>
                <w:rFonts w:ascii="Times New Roman"/>
                <w:sz w:val="24"/>
              </w:rPr>
            </w:pPr>
            <w:r>
              <w:rPr>
                <w:rFonts w:ascii="Times New Roman"/>
                <w:sz w:val="24"/>
              </w:rPr>
              <w:t>5</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704" w:type="dxa"/>
          </w:tcPr>
          <w:p>
            <w:pPr>
              <w:pStyle w:val="15"/>
              <w:spacing w:before="179"/>
              <w:ind w:left="7"/>
              <w:jc w:val="center"/>
              <w:rPr>
                <w:rFonts w:ascii="Times New Roman"/>
                <w:sz w:val="24"/>
              </w:rPr>
            </w:pPr>
            <w:r>
              <w:rPr>
                <w:rFonts w:ascii="Times New Roman"/>
                <w:sz w:val="24"/>
              </w:rPr>
              <w:t>6</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7"/>
              <w:jc w:val="center"/>
              <w:rPr>
                <w:rFonts w:ascii="Times New Roman"/>
                <w:sz w:val="24"/>
              </w:rPr>
            </w:pPr>
            <w:r>
              <w:rPr>
                <w:rFonts w:ascii="Times New Roman"/>
                <w:sz w:val="24"/>
              </w:rPr>
              <w:t>7</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04" w:type="dxa"/>
          </w:tcPr>
          <w:p>
            <w:pPr>
              <w:pStyle w:val="15"/>
              <w:spacing w:before="176"/>
              <w:ind w:left="7"/>
              <w:jc w:val="center"/>
              <w:rPr>
                <w:rFonts w:ascii="Times New Roman"/>
                <w:sz w:val="24"/>
              </w:rPr>
            </w:pPr>
            <w:r>
              <w:rPr>
                <w:rFonts w:ascii="Times New Roman"/>
                <w:sz w:val="24"/>
              </w:rPr>
              <w:t>8</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7"/>
              <w:jc w:val="center"/>
              <w:rPr>
                <w:rFonts w:ascii="Times New Roman"/>
                <w:sz w:val="24"/>
              </w:rPr>
            </w:pPr>
            <w:r>
              <w:rPr>
                <w:rFonts w:ascii="Times New Roman"/>
                <w:sz w:val="24"/>
              </w:rPr>
              <w:t>9</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87" w:right="80"/>
              <w:jc w:val="center"/>
              <w:rPr>
                <w:rFonts w:ascii="Times New Roman"/>
                <w:sz w:val="24"/>
              </w:rPr>
            </w:pPr>
            <w:r>
              <w:rPr>
                <w:rFonts w:ascii="Times New Roman"/>
                <w:sz w:val="24"/>
              </w:rPr>
              <w:t>10</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tcPr>
          <w:p>
            <w:pPr>
              <w:pStyle w:val="15"/>
              <w:spacing w:before="176"/>
              <w:ind w:left="80" w:right="80"/>
              <w:jc w:val="center"/>
              <w:rPr>
                <w:rFonts w:ascii="Times New Roman"/>
                <w:sz w:val="24"/>
              </w:rPr>
            </w:pPr>
            <w:r>
              <w:rPr>
                <w:rFonts w:ascii="Times New Roman"/>
                <w:sz w:val="24"/>
              </w:rPr>
              <w:t>11</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87" w:right="80"/>
              <w:jc w:val="center"/>
              <w:rPr>
                <w:rFonts w:ascii="Times New Roman"/>
                <w:sz w:val="24"/>
              </w:rPr>
            </w:pPr>
            <w:r>
              <w:rPr>
                <w:rFonts w:ascii="Times New Roman"/>
                <w:sz w:val="24"/>
              </w:rPr>
              <w:t>12</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9"/>
              <w:ind w:left="87" w:right="80"/>
              <w:jc w:val="center"/>
              <w:rPr>
                <w:rFonts w:ascii="Times New Roman"/>
                <w:sz w:val="24"/>
              </w:rPr>
            </w:pPr>
            <w:r>
              <w:rPr>
                <w:rFonts w:ascii="Times New Roman"/>
                <w:sz w:val="24"/>
              </w:rPr>
              <w:t>13</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04" w:type="dxa"/>
          </w:tcPr>
          <w:p>
            <w:pPr>
              <w:pStyle w:val="15"/>
              <w:spacing w:before="176"/>
              <w:ind w:left="87" w:right="80"/>
              <w:jc w:val="center"/>
              <w:rPr>
                <w:rFonts w:ascii="Times New Roman"/>
                <w:sz w:val="24"/>
              </w:rPr>
            </w:pPr>
            <w:r>
              <w:rPr>
                <w:rFonts w:ascii="Times New Roman"/>
                <w:sz w:val="24"/>
              </w:rPr>
              <w:t>14</w:t>
            </w:r>
          </w:p>
        </w:tc>
        <w:tc>
          <w:tcPr>
            <w:tcW w:w="6827" w:type="dxa"/>
          </w:tcPr>
          <w:p>
            <w:pPr>
              <w:pStyle w:val="15"/>
              <w:rPr>
                <w:rFonts w:ascii="Times New Roman"/>
                <w:sz w:val="24"/>
              </w:rPr>
            </w:pPr>
          </w:p>
        </w:tc>
        <w:tc>
          <w:tcPr>
            <w:tcW w:w="725" w:type="dxa"/>
          </w:tcPr>
          <w:p>
            <w:pPr>
              <w:pStyle w:val="15"/>
              <w:rPr>
                <w:rFonts w:ascii="Times New Roman"/>
                <w:sz w:val="24"/>
              </w:rPr>
            </w:pPr>
          </w:p>
        </w:tc>
        <w:tc>
          <w:tcPr>
            <w:tcW w:w="720" w:type="dxa"/>
          </w:tcPr>
          <w:p>
            <w:pPr>
              <w:pStyle w:val="15"/>
              <w:rPr>
                <w:rFonts w:ascii="Times New Roman"/>
                <w:sz w:val="24"/>
              </w:rPr>
            </w:pPr>
          </w:p>
        </w:tc>
        <w:tc>
          <w:tcPr>
            <w:tcW w:w="720" w:type="dxa"/>
          </w:tcPr>
          <w:p>
            <w:pPr>
              <w:pStyle w:val="15"/>
              <w:rPr>
                <w:rFonts w:ascii="Times New Roman"/>
                <w:sz w:val="24"/>
              </w:rPr>
            </w:pPr>
          </w:p>
        </w:tc>
      </w:tr>
    </w:tbl>
    <w:p>
      <w:pPr>
        <w:pStyle w:val="6"/>
        <w:rPr>
          <w:b/>
          <w:sz w:val="24"/>
        </w:rPr>
      </w:pPr>
    </w:p>
    <w:p>
      <w:pPr>
        <w:pStyle w:val="6"/>
        <w:spacing w:before="6"/>
        <w:rPr>
          <w:b/>
          <w:sz w:val="27"/>
        </w:rPr>
      </w:pPr>
    </w:p>
    <w:p>
      <w:pPr>
        <w:ind w:left="4893"/>
        <w:rPr>
          <w:b/>
          <w:sz w:val="24"/>
        </w:rPr>
      </w:pPr>
      <w:r>
        <w:rPr>
          <w:b/>
          <w:sz w:val="24"/>
        </w:rPr>
        <w:t>申报人（签字/盖章）:</w:t>
      </w:r>
    </w:p>
    <w:p>
      <w:pPr>
        <w:pStyle w:val="15"/>
        <w:spacing w:line="458" w:lineRule="auto"/>
        <w:ind w:right="2191" w:firstLine="2891" w:firstLineChars="1200"/>
        <w:jc w:val="center"/>
        <w:rPr>
          <w:b/>
          <w:sz w:val="24"/>
          <w:lang w:val="en-US"/>
        </w:rPr>
      </w:pPr>
      <w:r>
        <w:rPr>
          <w:rFonts w:hint="eastAsia"/>
          <w:b/>
          <w:sz w:val="24"/>
          <w:lang w:val="en-US"/>
        </w:rPr>
        <w:t xml:space="preserve">           </w:t>
      </w:r>
    </w:p>
    <w:p>
      <w:pPr>
        <w:pStyle w:val="15"/>
        <w:spacing w:line="458" w:lineRule="auto"/>
        <w:ind w:right="2191" w:firstLine="2891" w:firstLineChars="1200"/>
        <w:jc w:val="center"/>
        <w:rPr>
          <w:b/>
          <w:sz w:val="24"/>
        </w:rPr>
      </w:pPr>
      <w:r>
        <w:rPr>
          <w:rFonts w:hint="eastAsia"/>
          <w:b/>
          <w:sz w:val="24"/>
          <w:lang w:val="en-US"/>
        </w:rPr>
        <w:t xml:space="preserve">           </w:t>
      </w:r>
      <w:r>
        <w:rPr>
          <w:b/>
          <w:sz w:val="24"/>
        </w:rPr>
        <w:t>委托代理人</w:t>
      </w:r>
      <w:r>
        <w:rPr>
          <w:rFonts w:hint="eastAsia"/>
          <w:b/>
          <w:sz w:val="24"/>
        </w:rPr>
        <w:t>（</w:t>
      </w:r>
      <w:r>
        <w:rPr>
          <w:b/>
          <w:sz w:val="24"/>
        </w:rPr>
        <w:t>签字</w:t>
      </w:r>
      <w:r>
        <w:rPr>
          <w:rFonts w:hint="eastAsia"/>
          <w:b/>
          <w:sz w:val="24"/>
        </w:rPr>
        <w:t>）</w:t>
      </w:r>
      <w:r>
        <w:rPr>
          <w:b/>
          <w:sz w:val="24"/>
        </w:rPr>
        <w:t>：</w:t>
      </w:r>
    </w:p>
    <w:p>
      <w:pPr>
        <w:tabs>
          <w:tab w:val="left" w:pos="725"/>
          <w:tab w:val="left" w:pos="1567"/>
        </w:tabs>
        <w:spacing w:before="192"/>
        <w:ind w:right="1435"/>
        <w:jc w:val="center"/>
        <w:rPr>
          <w:b/>
          <w:sz w:val="24"/>
        </w:rPr>
      </w:pPr>
      <w:r>
        <w:rPr>
          <w:rFonts w:hint="eastAsia"/>
          <w:b/>
          <w:sz w:val="24"/>
        </w:rPr>
        <w:t xml:space="preserve">                            </w:t>
      </w:r>
      <w:r>
        <w:rPr>
          <w:b/>
          <w:sz w:val="24"/>
        </w:rPr>
        <w:t>年</w:t>
      </w:r>
      <w:r>
        <w:rPr>
          <w:b/>
          <w:sz w:val="24"/>
        </w:rPr>
        <w:tab/>
      </w:r>
      <w:r>
        <w:rPr>
          <w:b/>
          <w:sz w:val="24"/>
        </w:rPr>
        <w:t>月</w:t>
      </w:r>
      <w:r>
        <w:rPr>
          <w:b/>
          <w:sz w:val="24"/>
        </w:rPr>
        <w:tab/>
      </w:r>
      <w:r>
        <w:rPr>
          <w:b/>
          <w:w w:val="95"/>
          <w:sz w:val="24"/>
        </w:rPr>
        <w:t>日</w:t>
      </w:r>
    </w:p>
    <w:p>
      <w:pPr>
        <w:jc w:val="right"/>
        <w:rPr>
          <w:sz w:val="24"/>
        </w:rPr>
        <w:sectPr>
          <w:footerReference r:id="rId4" w:type="default"/>
          <w:pgSz w:w="11910" w:h="16840"/>
          <w:pgMar w:top="1580" w:right="800" w:bottom="280" w:left="800" w:header="0" w:footer="0" w:gutter="0"/>
          <w:cols w:space="720" w:num="1"/>
        </w:sectPr>
      </w:pPr>
    </w:p>
    <w:p>
      <w:pPr>
        <w:pStyle w:val="6"/>
        <w:rPr>
          <w:b/>
        </w:rPr>
      </w:pPr>
    </w:p>
    <w:p>
      <w:pPr>
        <w:pStyle w:val="6"/>
        <w:rPr>
          <w:b/>
        </w:rPr>
      </w:pPr>
    </w:p>
    <w:p>
      <w:pPr>
        <w:pStyle w:val="6"/>
        <w:rPr>
          <w:b/>
        </w:rPr>
      </w:pPr>
    </w:p>
    <w:p>
      <w:pPr>
        <w:pStyle w:val="6"/>
        <w:spacing w:before="5"/>
        <w:rPr>
          <w:b/>
          <w:sz w:val="21"/>
        </w:rPr>
      </w:pPr>
    </w:p>
    <w:p>
      <w:pPr>
        <w:pStyle w:val="4"/>
        <w:tabs>
          <w:tab w:val="left" w:pos="1564"/>
          <w:tab w:val="left" w:pos="2128"/>
        </w:tabs>
        <w:spacing w:line="333" w:lineRule="auto"/>
      </w:pPr>
      <w:r>
        <w:t>申</w:t>
      </w:r>
      <w:r>
        <w:tab/>
      </w:r>
      <w:r>
        <w:t>报</w:t>
      </w:r>
      <w:r>
        <w:tab/>
      </w:r>
      <w:r>
        <w:t>人</w:t>
      </w:r>
      <w:r>
        <w:rPr>
          <w:spacing w:val="-20"/>
        </w:rPr>
        <w:t>：</w:t>
      </w:r>
      <w:r>
        <w:t>代</w:t>
      </w:r>
      <w:r>
        <w:tab/>
      </w:r>
      <w:r>
        <w:t>理</w:t>
      </w:r>
      <w:r>
        <w:tab/>
      </w:r>
      <w:r>
        <w:t>人</w:t>
      </w:r>
      <w:r>
        <w:rPr>
          <w:spacing w:val="-20"/>
        </w:rPr>
        <w:t>：</w:t>
      </w:r>
    </w:p>
    <w:p>
      <w:pPr>
        <w:spacing w:before="40" w:line="295" w:lineRule="auto"/>
        <w:ind w:left="1623" w:right="2748" w:hanging="1602"/>
        <w:rPr>
          <w:rFonts w:ascii="华文中宋" w:eastAsia="华文中宋"/>
          <w:b/>
          <w:sz w:val="32"/>
        </w:rPr>
      </w:pPr>
      <w:r>
        <w:br w:type="column"/>
      </w:r>
      <w:r>
        <w:rPr>
          <w:rFonts w:hint="eastAsia" w:ascii="华文中宋" w:eastAsia="华文中宋"/>
          <w:b/>
          <w:sz w:val="32"/>
        </w:rPr>
        <w:t>深圳广田集团股份有限公司预重整债权申报书</w:t>
      </w:r>
    </w:p>
    <w:p>
      <w:pPr>
        <w:spacing w:line="295" w:lineRule="auto"/>
        <w:rPr>
          <w:rFonts w:ascii="华文中宋" w:eastAsia="华文中宋"/>
          <w:sz w:val="32"/>
        </w:rPr>
        <w:sectPr>
          <w:footerReference r:id="rId5" w:type="default"/>
          <w:pgSz w:w="11910" w:h="16840"/>
          <w:pgMar w:top="1440" w:right="800" w:bottom="280" w:left="800" w:header="0" w:footer="0" w:gutter="0"/>
          <w:cols w:equalWidth="0" w:num="2">
            <w:col w:w="2691" w:space="40"/>
            <w:col w:w="7579"/>
          </w:cols>
        </w:sectPr>
      </w:pPr>
    </w:p>
    <w:p>
      <w:pPr>
        <w:pStyle w:val="6"/>
        <w:spacing w:before="13"/>
        <w:rPr>
          <w:rFonts w:ascii="华文中宋"/>
          <w:b/>
          <w:sz w:val="27"/>
        </w:rPr>
      </w:pPr>
    </w:p>
    <w:p>
      <w:pPr>
        <w:spacing w:before="61"/>
        <w:ind w:left="1000"/>
        <w:rPr>
          <w:b/>
          <w:sz w:val="28"/>
        </w:rPr>
      </w:pPr>
      <w:r>
        <w:rPr>
          <w:b/>
          <w:sz w:val="28"/>
        </w:rPr>
        <w:t>申报事项：</w:t>
      </w:r>
    </w:p>
    <w:p>
      <w:pPr>
        <w:pStyle w:val="6"/>
        <w:tabs>
          <w:tab w:val="left" w:pos="7467"/>
        </w:tabs>
        <w:spacing w:before="141"/>
        <w:ind w:right="996"/>
        <w:jc w:val="right"/>
      </w:pPr>
      <w:r>
        <w:t>申报债</w:t>
      </w:r>
      <w:r>
        <w:rPr>
          <w:spacing w:val="-3"/>
        </w:rPr>
        <w:t>权</w:t>
      </w:r>
      <w:r>
        <w:t>总额</w:t>
      </w:r>
      <w:r>
        <w:rPr>
          <w:spacing w:val="-3"/>
        </w:rPr>
        <w:t>人民</w:t>
      </w:r>
      <w:r>
        <w:t>币</w:t>
      </w:r>
      <w:r>
        <w:rPr>
          <w:rFonts w:ascii="Times New Roman" w:eastAsia="Times New Roman"/>
          <w:u w:val="single"/>
        </w:rPr>
        <w:tab/>
      </w:r>
      <w:r>
        <w:t>元</w:t>
      </w:r>
    </w:p>
    <w:p>
      <w:pPr>
        <w:pStyle w:val="6"/>
        <w:tabs>
          <w:tab w:val="left" w:pos="6161"/>
        </w:tabs>
        <w:spacing w:before="143"/>
        <w:ind w:right="1037"/>
        <w:jc w:val="right"/>
      </w:pPr>
      <w:r>
        <w:t>（大写</w:t>
      </w:r>
      <w:r>
        <w:rPr>
          <w:spacing w:val="-3"/>
        </w:rPr>
        <w:t>：</w:t>
      </w:r>
      <w:r>
        <w:t>人民币</w:t>
      </w:r>
      <w:r>
        <w:rPr>
          <w:rFonts w:ascii="Times New Roman" w:eastAsia="Times New Roman"/>
          <w:u w:val="single"/>
        </w:rPr>
        <w:tab/>
      </w:r>
      <w:r>
        <w:t>元</w:t>
      </w:r>
      <w:r>
        <w:rPr>
          <w:spacing w:val="-140"/>
        </w:rPr>
        <w:t>）</w:t>
      </w:r>
      <w:r>
        <w:t>，</w:t>
      </w:r>
      <w:r>
        <w:rPr>
          <w:spacing w:val="-3"/>
        </w:rPr>
        <w:t>其</w:t>
      </w:r>
      <w:r>
        <w:t>中包括：</w:t>
      </w:r>
    </w:p>
    <w:p>
      <w:pPr>
        <w:pStyle w:val="6"/>
        <w:tabs>
          <w:tab w:val="left" w:pos="6600"/>
        </w:tabs>
        <w:spacing w:before="141"/>
        <w:ind w:left="1559"/>
      </w:pPr>
      <w:r>
        <w:rPr>
          <w:rFonts w:ascii="Times New Roman" w:eastAsia="Times New Roman"/>
          <w:spacing w:val="-2"/>
        </w:rPr>
        <w:t>1</w:t>
      </w:r>
      <w:r>
        <w:rPr>
          <w:spacing w:val="2"/>
        </w:rPr>
        <w:t>、</w:t>
      </w:r>
      <w:r>
        <w:rPr>
          <w:rFonts w:ascii="Times New Roman" w:eastAsia="Times New Roman"/>
          <w:u w:val="single"/>
        </w:rPr>
        <w:tab/>
      </w:r>
      <w:r>
        <w:rPr>
          <w:spacing w:val="-140"/>
        </w:rPr>
        <w:t>；</w:t>
      </w:r>
      <w:r>
        <w:t>（项</w:t>
      </w:r>
      <w:r>
        <w:rPr>
          <w:spacing w:val="-3"/>
        </w:rPr>
        <w:t>目</w:t>
      </w:r>
      <w:r>
        <w:t>及数</w:t>
      </w:r>
      <w:r>
        <w:rPr>
          <w:spacing w:val="-3"/>
        </w:rPr>
        <w:t>额</w:t>
      </w:r>
      <w:r>
        <w:t>）</w:t>
      </w:r>
    </w:p>
    <w:p>
      <w:pPr>
        <w:pStyle w:val="6"/>
        <w:tabs>
          <w:tab w:val="left" w:pos="6600"/>
        </w:tabs>
        <w:spacing w:before="140"/>
        <w:ind w:left="1559"/>
      </w:pPr>
      <w:r>
        <w:rPr>
          <w:rFonts w:ascii="Times New Roman" w:eastAsia="Times New Roman"/>
          <w:spacing w:val="-2"/>
        </w:rPr>
        <w:t>2</w:t>
      </w:r>
      <w:r>
        <w:rPr>
          <w:spacing w:val="2"/>
        </w:rPr>
        <w:t>、</w:t>
      </w:r>
      <w:r>
        <w:rPr>
          <w:rFonts w:ascii="Times New Roman" w:eastAsia="Times New Roman"/>
          <w:u w:val="single"/>
        </w:rPr>
        <w:tab/>
      </w:r>
      <w:r>
        <w:rPr>
          <w:spacing w:val="-140"/>
        </w:rPr>
        <w:t>；</w:t>
      </w:r>
      <w:r>
        <w:t>（项</w:t>
      </w:r>
      <w:r>
        <w:rPr>
          <w:spacing w:val="-3"/>
        </w:rPr>
        <w:t>目</w:t>
      </w:r>
      <w:r>
        <w:t>及数</w:t>
      </w:r>
      <w:r>
        <w:rPr>
          <w:spacing w:val="-3"/>
        </w:rPr>
        <w:t>额</w:t>
      </w:r>
      <w:r>
        <w:t>）</w:t>
      </w:r>
    </w:p>
    <w:p>
      <w:pPr>
        <w:tabs>
          <w:tab w:val="left" w:pos="6530"/>
        </w:tabs>
        <w:spacing w:before="143" w:line="333" w:lineRule="auto"/>
        <w:ind w:left="1562" w:right="1182" w:hanging="3"/>
        <w:rPr>
          <w:spacing w:val="-15"/>
          <w:sz w:val="28"/>
        </w:rPr>
      </w:pPr>
      <w:r>
        <w:rPr>
          <w:rFonts w:ascii="Times New Roman" w:eastAsia="Times New Roman"/>
          <w:sz w:val="28"/>
        </w:rPr>
        <w:t>3</w:t>
      </w:r>
      <w:r>
        <w:rPr>
          <w:sz w:val="28"/>
        </w:rPr>
        <w:t>、</w:t>
      </w:r>
      <w:r>
        <w:rPr>
          <w:rFonts w:ascii="Times New Roman" w:hAnsi="仿宋" w:eastAsia="Times New Roman" w:cs="仿宋"/>
          <w:snapToGrid w:val="0"/>
          <w:color w:val="000000"/>
          <w:sz w:val="28"/>
          <w:szCs w:val="28"/>
          <w:u w:val="single"/>
          <w:lang w:val="zh-CN" w:eastAsia="zh-CN" w:bidi="zh-CN"/>
        </w:rPr>
        <w:tab/>
      </w:r>
      <w:r>
        <w:rPr>
          <w:b w:val="0"/>
          <w:bCs w:val="0"/>
          <w:spacing w:val="-140"/>
          <w:sz w:val="28"/>
        </w:rPr>
        <w:t>。</w:t>
      </w:r>
      <w:r>
        <w:rPr>
          <w:sz w:val="28"/>
        </w:rPr>
        <w:t>（项</w:t>
      </w:r>
      <w:r>
        <w:rPr>
          <w:spacing w:val="-3"/>
          <w:sz w:val="28"/>
        </w:rPr>
        <w:t>目</w:t>
      </w:r>
      <w:r>
        <w:rPr>
          <w:sz w:val="28"/>
        </w:rPr>
        <w:t>及数</w:t>
      </w:r>
      <w:r>
        <w:rPr>
          <w:spacing w:val="-3"/>
          <w:sz w:val="28"/>
        </w:rPr>
        <w:t>额</w:t>
      </w:r>
      <w:r>
        <w:rPr>
          <w:spacing w:val="-15"/>
          <w:sz w:val="28"/>
        </w:rPr>
        <w:t>）</w:t>
      </w:r>
      <w:bookmarkStart w:id="0" w:name="_GoBack"/>
      <w:bookmarkEnd w:id="0"/>
    </w:p>
    <w:p>
      <w:pPr>
        <w:tabs>
          <w:tab w:val="left" w:pos="6530"/>
        </w:tabs>
        <w:spacing w:before="143" w:line="333" w:lineRule="auto"/>
        <w:ind w:left="926" w:leftChars="441" w:right="516" w:firstLine="555" w:firstLineChars="198"/>
        <w:rPr>
          <w:b/>
          <w:sz w:val="28"/>
        </w:rPr>
      </w:pPr>
      <w:r>
        <w:rPr>
          <w:b/>
          <w:sz w:val="28"/>
        </w:rPr>
        <w:t>以上债权性质为：</w:t>
      </w:r>
      <w:r>
        <w:rPr>
          <w:rFonts w:hint="eastAsia"/>
          <w:b/>
          <w:sz w:val="28"/>
          <w:u w:val="single"/>
        </w:rPr>
        <w:t>□有财产担保债权/□税款债权/□普通债权</w:t>
      </w:r>
    </w:p>
    <w:p>
      <w:pPr>
        <w:pStyle w:val="4"/>
        <w:spacing w:before="1"/>
        <w:ind w:left="1562"/>
        <w:rPr>
          <w:b w:val="0"/>
        </w:rPr>
      </w:pPr>
      <w:r>
        <w:rPr>
          <w:w w:val="99"/>
        </w:rPr>
        <w:t>（请在相应位置标注</w:t>
      </w:r>
      <w:r>
        <w:rPr>
          <w:spacing w:val="-46"/>
          <w:w w:val="99"/>
          <w:u w:val="single"/>
        </w:rPr>
        <w:t>“√”</w:t>
      </w:r>
      <w:r>
        <w:rPr>
          <w:spacing w:val="-142"/>
          <w:w w:val="99"/>
        </w:rPr>
        <w:t>）</w:t>
      </w:r>
      <w:r>
        <w:rPr>
          <w:b w:val="0"/>
        </w:rPr>
        <w:t>。</w:t>
      </w:r>
    </w:p>
    <w:p>
      <w:pPr>
        <w:pStyle w:val="6"/>
        <w:rPr>
          <w:sz w:val="20"/>
        </w:rPr>
      </w:pPr>
    </w:p>
    <w:p>
      <w:pPr>
        <w:pStyle w:val="6"/>
        <w:spacing w:before="4"/>
        <w:rPr>
          <w:sz w:val="25"/>
        </w:rPr>
      </w:pPr>
    </w:p>
    <w:p>
      <w:pPr>
        <w:spacing w:before="62"/>
        <w:ind w:left="1000"/>
        <w:rPr>
          <w:b/>
          <w:sz w:val="28"/>
        </w:rPr>
      </w:pPr>
      <w:r>
        <w:rPr>
          <w:b/>
          <w:sz w:val="28"/>
        </w:rPr>
        <w:t>事实和理由：</w:t>
      </w:r>
    </w:p>
    <w:p>
      <w:pPr>
        <w:pStyle w:val="6"/>
        <w:spacing w:before="140" w:line="333" w:lineRule="auto"/>
        <w:ind w:left="1000" w:right="993" w:firstLine="554"/>
        <w:jc w:val="both"/>
      </w:pPr>
      <w:r>
        <w:t>（</w:t>
      </w:r>
      <w:r>
        <w:rPr>
          <w:spacing w:val="-11"/>
        </w:rPr>
        <w:t>请写明债权形成原因、经过、有无财产担保、是否存在第三方</w:t>
      </w:r>
      <w:r>
        <w:rPr>
          <w:spacing w:val="-10"/>
        </w:rPr>
        <w:t>提供担保或清偿等相关事项；如申报利息，须说明并提供详细计算方</w:t>
      </w:r>
      <w:r>
        <w:rPr>
          <w:spacing w:val="-3"/>
        </w:rPr>
        <w:t>法及过程，可另附页</w:t>
      </w:r>
      <w:r>
        <w:t>）</w:t>
      </w:r>
    </w:p>
    <w:p>
      <w:pPr>
        <w:pStyle w:val="6"/>
        <w:rPr>
          <w:sz w:val="20"/>
        </w:rPr>
      </w:pPr>
    </w:p>
    <w:p>
      <w:pPr>
        <w:pStyle w:val="6"/>
        <w:rPr>
          <w:sz w:val="20"/>
        </w:rPr>
      </w:pPr>
    </w:p>
    <w:p>
      <w:pPr>
        <w:pStyle w:val="6"/>
        <w:rPr>
          <w:sz w:val="20"/>
        </w:rPr>
      </w:pPr>
    </w:p>
    <w:p>
      <w:pPr>
        <w:pStyle w:val="6"/>
        <w:spacing w:before="213"/>
        <w:ind w:left="1554"/>
      </w:pPr>
      <w:r>
        <w:t>特此申报。</w:t>
      </w:r>
    </w:p>
    <w:p>
      <w:pPr>
        <w:pStyle w:val="4"/>
        <w:tabs>
          <w:tab w:val="left" w:pos="9090"/>
        </w:tabs>
        <w:spacing w:before="140" w:line="440" w:lineRule="exact"/>
        <w:ind w:left="998" w:right="1208"/>
        <w:jc w:val="center"/>
        <w:rPr>
          <w:w w:val="99"/>
        </w:rPr>
      </w:pPr>
      <w:r>
        <w:rPr>
          <w:rFonts w:hint="eastAsia"/>
          <w:w w:val="99"/>
          <w:lang w:val="en-US"/>
        </w:rPr>
        <w:t xml:space="preserve">          </w:t>
      </w:r>
      <w:r>
        <w:rPr>
          <w:w w:val="99"/>
        </w:rPr>
        <w:t>申报</w:t>
      </w:r>
      <w:r>
        <w:rPr>
          <w:spacing w:val="2"/>
          <w:w w:val="99"/>
        </w:rPr>
        <w:t>人</w:t>
      </w:r>
      <w:r>
        <w:rPr>
          <w:w w:val="99"/>
        </w:rPr>
        <w:t>（签</w:t>
      </w:r>
      <w:r>
        <w:rPr>
          <w:spacing w:val="2"/>
          <w:w w:val="99"/>
        </w:rPr>
        <w:t>字</w:t>
      </w:r>
      <w:r>
        <w:rPr>
          <w:spacing w:val="-2"/>
          <w:w w:val="99"/>
        </w:rPr>
        <w:t>/</w:t>
      </w:r>
      <w:r>
        <w:rPr>
          <w:w w:val="99"/>
        </w:rPr>
        <w:t>盖章</w:t>
      </w:r>
      <w:r>
        <w:rPr>
          <w:spacing w:val="-140"/>
          <w:w w:val="99"/>
        </w:rPr>
        <w:t>）</w:t>
      </w:r>
      <w:r>
        <w:rPr>
          <w:w w:val="99"/>
        </w:rPr>
        <w:t>：</w:t>
      </w:r>
    </w:p>
    <w:p>
      <w:pPr>
        <w:pStyle w:val="4"/>
        <w:tabs>
          <w:tab w:val="left" w:pos="9090"/>
        </w:tabs>
        <w:spacing w:before="140" w:line="440" w:lineRule="exact"/>
        <w:ind w:left="998" w:right="1208"/>
        <w:jc w:val="center"/>
        <w:rPr>
          <w:w w:val="99"/>
        </w:rPr>
      </w:pPr>
      <w:r>
        <w:rPr>
          <w:rFonts w:hint="eastAsia"/>
          <w:w w:val="99"/>
          <w:lang w:val="en-US"/>
        </w:rPr>
        <w:t xml:space="preserve">                </w:t>
      </w:r>
      <w:r>
        <w:rPr>
          <w:rFonts w:hint="eastAsia"/>
          <w:w w:val="99"/>
        </w:rPr>
        <w:t>法定代表人/负责人</w:t>
      </w:r>
      <w:r>
        <w:rPr>
          <w:w w:val="99"/>
        </w:rPr>
        <w:t>（签</w:t>
      </w:r>
      <w:r>
        <w:rPr>
          <w:spacing w:val="2"/>
          <w:w w:val="99"/>
        </w:rPr>
        <w:t>字</w:t>
      </w:r>
      <w:r>
        <w:rPr>
          <w:spacing w:val="-140"/>
          <w:w w:val="99"/>
        </w:rPr>
        <w:t>）</w:t>
      </w:r>
      <w:r>
        <w:rPr>
          <w:w w:val="99"/>
        </w:rPr>
        <w:t>：</w:t>
      </w:r>
    </w:p>
    <w:p>
      <w:pPr>
        <w:pStyle w:val="4"/>
        <w:tabs>
          <w:tab w:val="left" w:pos="9090"/>
        </w:tabs>
        <w:spacing w:before="140" w:line="440" w:lineRule="exact"/>
        <w:ind w:left="998" w:right="1208"/>
        <w:jc w:val="center"/>
        <w:rPr>
          <w:spacing w:val="3"/>
          <w:w w:val="99"/>
        </w:rPr>
      </w:pPr>
      <w:r>
        <w:rPr>
          <w:rFonts w:hint="eastAsia"/>
          <w:w w:val="99"/>
          <w:lang w:val="en-US"/>
        </w:rPr>
        <w:t xml:space="preserve">         </w:t>
      </w:r>
      <w:r>
        <w:rPr>
          <w:w w:val="99"/>
        </w:rPr>
        <w:t>委托</w:t>
      </w:r>
      <w:r>
        <w:rPr>
          <w:spacing w:val="2"/>
          <w:w w:val="99"/>
        </w:rPr>
        <w:t>代</w:t>
      </w:r>
      <w:r>
        <w:rPr>
          <w:w w:val="99"/>
        </w:rPr>
        <w:t>理人（签</w:t>
      </w:r>
      <w:r>
        <w:rPr>
          <w:spacing w:val="2"/>
          <w:w w:val="99"/>
        </w:rPr>
        <w:t>字</w:t>
      </w:r>
      <w:r>
        <w:rPr>
          <w:spacing w:val="-142"/>
          <w:w w:val="99"/>
        </w:rPr>
        <w:t>）</w:t>
      </w:r>
      <w:r>
        <w:rPr>
          <w:spacing w:val="3"/>
          <w:w w:val="99"/>
        </w:rPr>
        <w:t>：</w:t>
      </w:r>
    </w:p>
    <w:p>
      <w:pPr>
        <w:pStyle w:val="4"/>
        <w:tabs>
          <w:tab w:val="left" w:pos="9090"/>
        </w:tabs>
        <w:spacing w:before="140" w:line="440" w:lineRule="exact"/>
        <w:ind w:left="998" w:right="1208"/>
        <w:jc w:val="center"/>
        <w:rPr>
          <w:lang w:val="en-US"/>
        </w:rPr>
      </w:pPr>
      <w:r>
        <w:rPr>
          <w:rFonts w:hint="eastAsia"/>
          <w:lang w:val="en-US"/>
        </w:rPr>
        <w:t xml:space="preserve">                 申报日期：     年   月   日 </w:t>
      </w:r>
    </w:p>
    <w:p>
      <w:pPr>
        <w:tabs>
          <w:tab w:val="left" w:pos="986"/>
          <w:tab w:val="left" w:pos="1973"/>
        </w:tabs>
        <w:spacing w:before="4"/>
        <w:ind w:right="1274"/>
        <w:jc w:val="center"/>
        <w:rPr>
          <w:b/>
          <w:spacing w:val="-1"/>
          <w:sz w:val="28"/>
        </w:rPr>
      </w:pPr>
      <w:r>
        <w:rPr>
          <w:rFonts w:hint="eastAsia"/>
          <w:b/>
          <w:sz w:val="28"/>
        </w:rPr>
        <w:t xml:space="preserve">                    </w:t>
      </w:r>
    </w:p>
    <w:p>
      <w:pPr>
        <w:tabs>
          <w:tab w:val="left" w:pos="986"/>
          <w:tab w:val="left" w:pos="1973"/>
        </w:tabs>
        <w:spacing w:before="4"/>
        <w:ind w:right="1274"/>
        <w:jc w:val="right"/>
        <w:rPr>
          <w:b/>
          <w:spacing w:val="-1"/>
          <w:sz w:val="28"/>
        </w:rPr>
      </w:pPr>
    </w:p>
    <w:p>
      <w:pPr>
        <w:spacing w:before="37" w:line="249" w:lineRule="auto"/>
        <w:ind w:left="1000" w:right="999"/>
        <w:rPr>
          <w:sz w:val="24"/>
        </w:rPr>
      </w:pPr>
      <w:r>
        <w:rPr>
          <w:sz w:val="24"/>
        </w:rPr>
        <w:t>（</w:t>
      </w:r>
      <w:r>
        <w:rPr>
          <w:spacing w:val="-10"/>
          <w:sz w:val="24"/>
        </w:rPr>
        <w:t>注：如人民法院裁定受理</w:t>
      </w:r>
      <w:r>
        <w:rPr>
          <w:rFonts w:hint="eastAsia"/>
          <w:spacing w:val="-10"/>
          <w:sz w:val="24"/>
        </w:rPr>
        <w:t>深圳广田集团股份有限公司破产</w:t>
      </w:r>
      <w:r>
        <w:rPr>
          <w:spacing w:val="-10"/>
          <w:sz w:val="24"/>
        </w:rPr>
        <w:t>重整，本债权申报书在</w:t>
      </w:r>
      <w:r>
        <w:rPr>
          <w:rFonts w:hint="eastAsia"/>
          <w:spacing w:val="-10"/>
          <w:sz w:val="24"/>
        </w:rPr>
        <w:t>破产</w:t>
      </w:r>
      <w:r>
        <w:rPr>
          <w:spacing w:val="-10"/>
          <w:sz w:val="24"/>
        </w:rPr>
        <w:t>重</w:t>
      </w:r>
      <w:r>
        <w:rPr>
          <w:spacing w:val="-14"/>
          <w:sz w:val="24"/>
        </w:rPr>
        <w:t>整程序中继续有效。</w:t>
      </w:r>
      <w:r>
        <w:rPr>
          <w:sz w:val="24"/>
        </w:rPr>
        <w:t>）</w:t>
      </w:r>
    </w:p>
    <w:p>
      <w:pPr>
        <w:spacing w:line="249" w:lineRule="auto"/>
        <w:rPr>
          <w:sz w:val="24"/>
        </w:rPr>
        <w:sectPr>
          <w:type w:val="continuous"/>
          <w:pgSz w:w="11910" w:h="16840"/>
          <w:pgMar w:top="1380" w:right="800" w:bottom="1180" w:left="800" w:header="720" w:footer="720" w:gutter="0"/>
          <w:cols w:space="720" w:num="1"/>
        </w:sectPr>
      </w:pPr>
    </w:p>
    <w:p>
      <w:pPr>
        <w:pStyle w:val="3"/>
        <w:spacing w:before="67" w:line="223" w:lineRule="auto"/>
        <w:ind w:left="3713" w:hanging="961"/>
      </w:pPr>
      <w:r>
        <w:rPr>
          <w:rFonts w:hint="eastAsia"/>
        </w:rPr>
        <w:t>深圳广田集团股份有限公司</w:t>
      </w:r>
      <w:r>
        <w:t>预重整诚信申报债权承诺书</w:t>
      </w:r>
    </w:p>
    <w:p>
      <w:pPr>
        <w:pStyle w:val="6"/>
        <w:rPr>
          <w:rFonts w:ascii="华文中宋"/>
          <w:b/>
          <w:sz w:val="50"/>
        </w:rPr>
      </w:pPr>
    </w:p>
    <w:p>
      <w:pPr>
        <w:pStyle w:val="4"/>
        <w:spacing w:before="1"/>
        <w:ind w:left="618"/>
      </w:pPr>
      <w:r>
        <w:rPr>
          <w:rFonts w:hint="eastAsia"/>
        </w:rPr>
        <w:t>深圳广田集团股份有限公司临时管理人</w:t>
      </w:r>
      <w:r>
        <w:t>：</w:t>
      </w:r>
    </w:p>
    <w:p>
      <w:pPr>
        <w:pStyle w:val="6"/>
        <w:rPr>
          <w:b/>
        </w:rPr>
      </w:pPr>
    </w:p>
    <w:p>
      <w:pPr>
        <w:pStyle w:val="6"/>
        <w:spacing w:before="8"/>
        <w:rPr>
          <w:b/>
          <w:sz w:val="37"/>
        </w:rPr>
      </w:pPr>
    </w:p>
    <w:p>
      <w:pPr>
        <w:pStyle w:val="6"/>
        <w:spacing w:line="400" w:lineRule="auto"/>
        <w:ind w:left="618" w:right="333" w:firstLine="559"/>
      </w:pPr>
      <w:r>
        <w:rPr>
          <w:spacing w:val="8"/>
        </w:rPr>
        <w:t>我公司</w:t>
      </w:r>
      <w:r>
        <w:rPr>
          <w:spacing w:val="6"/>
        </w:rPr>
        <w:t>/本人承诺提交的所有债权申报材料无论盖章、签名与否，均</w:t>
      </w:r>
      <w:r>
        <w:t>真实、准确、有效，所有复印件已与原件核对无异，发送至</w:t>
      </w:r>
      <w:r>
        <w:rPr>
          <w:rFonts w:hint="eastAsia"/>
        </w:rPr>
        <w:t>临时管理人</w:t>
      </w:r>
      <w:r>
        <w:t>邮箱的电子版申报材料同提交的纸质版材料一致，否则一切法律后果自负。</w:t>
      </w:r>
    </w:p>
    <w:p>
      <w:pPr>
        <w:pStyle w:val="6"/>
      </w:pPr>
    </w:p>
    <w:p>
      <w:pPr>
        <w:pStyle w:val="6"/>
      </w:pPr>
    </w:p>
    <w:p>
      <w:pPr>
        <w:pStyle w:val="6"/>
      </w:pPr>
    </w:p>
    <w:p>
      <w:pPr>
        <w:pStyle w:val="6"/>
      </w:pPr>
    </w:p>
    <w:p>
      <w:pPr>
        <w:pStyle w:val="6"/>
        <w:spacing w:before="9"/>
      </w:pPr>
    </w:p>
    <w:p>
      <w:pPr>
        <w:pStyle w:val="4"/>
        <w:tabs>
          <w:tab w:val="left" w:pos="9090"/>
        </w:tabs>
        <w:spacing w:before="140" w:line="440" w:lineRule="exact"/>
        <w:ind w:right="1209"/>
        <w:jc w:val="center"/>
        <w:rPr>
          <w:w w:val="99"/>
        </w:rPr>
      </w:pPr>
      <w:r>
        <w:rPr>
          <w:rFonts w:hint="eastAsia"/>
          <w:w w:val="99"/>
          <w:lang w:val="en-US"/>
        </w:rPr>
        <w:t xml:space="preserve">                             </w:t>
      </w:r>
      <w:r>
        <w:rPr>
          <w:w w:val="99"/>
        </w:rPr>
        <w:t>申报</w:t>
      </w:r>
      <w:r>
        <w:rPr>
          <w:spacing w:val="2"/>
          <w:w w:val="99"/>
        </w:rPr>
        <w:t>人</w:t>
      </w:r>
      <w:r>
        <w:rPr>
          <w:w w:val="99"/>
        </w:rPr>
        <w:t>（签</w:t>
      </w:r>
      <w:r>
        <w:rPr>
          <w:spacing w:val="2"/>
          <w:w w:val="99"/>
        </w:rPr>
        <w:t>字</w:t>
      </w:r>
      <w:r>
        <w:rPr>
          <w:spacing w:val="-2"/>
          <w:w w:val="99"/>
        </w:rPr>
        <w:t>/</w:t>
      </w:r>
      <w:r>
        <w:rPr>
          <w:w w:val="99"/>
        </w:rPr>
        <w:t>盖章</w:t>
      </w:r>
      <w:r>
        <w:rPr>
          <w:spacing w:val="-140"/>
          <w:w w:val="99"/>
        </w:rPr>
        <w:t>）</w:t>
      </w:r>
      <w:r>
        <w:rPr>
          <w:w w:val="99"/>
        </w:rPr>
        <w:t>：</w:t>
      </w:r>
    </w:p>
    <w:p>
      <w:pPr>
        <w:spacing w:before="241" w:line="440" w:lineRule="exact"/>
        <w:ind w:right="895"/>
        <w:jc w:val="right"/>
        <w:rPr>
          <w:b/>
          <w:sz w:val="28"/>
        </w:rPr>
      </w:pPr>
      <w:r>
        <w:rPr>
          <w:b/>
          <w:sz w:val="28"/>
        </w:rPr>
        <w:t>法定代表人/负责人（签</w:t>
      </w:r>
      <w:r>
        <w:rPr>
          <w:rFonts w:hint="eastAsia"/>
          <w:b/>
          <w:sz w:val="28"/>
        </w:rPr>
        <w:t>字</w:t>
      </w:r>
      <w:r>
        <w:rPr>
          <w:b/>
          <w:sz w:val="28"/>
        </w:rPr>
        <w:t>）：</w:t>
      </w:r>
    </w:p>
    <w:p>
      <w:pPr>
        <w:pStyle w:val="4"/>
        <w:tabs>
          <w:tab w:val="left" w:pos="9090"/>
        </w:tabs>
        <w:spacing w:before="140" w:line="440" w:lineRule="exact"/>
        <w:ind w:left="998" w:right="1208"/>
        <w:jc w:val="center"/>
        <w:rPr>
          <w:spacing w:val="3"/>
          <w:w w:val="99"/>
        </w:rPr>
      </w:pPr>
      <w:r>
        <w:rPr>
          <w:rFonts w:hint="eastAsia"/>
          <w:w w:val="99"/>
          <w:lang w:val="en-US"/>
        </w:rPr>
        <w:t xml:space="preserve">                            </w:t>
      </w:r>
      <w:r>
        <w:rPr>
          <w:w w:val="99"/>
        </w:rPr>
        <w:t>委托</w:t>
      </w:r>
      <w:r>
        <w:rPr>
          <w:spacing w:val="2"/>
          <w:w w:val="99"/>
        </w:rPr>
        <w:t>代</w:t>
      </w:r>
      <w:r>
        <w:rPr>
          <w:w w:val="99"/>
        </w:rPr>
        <w:t>理人（签</w:t>
      </w:r>
      <w:r>
        <w:rPr>
          <w:spacing w:val="2"/>
          <w:w w:val="99"/>
        </w:rPr>
        <w:t>字</w:t>
      </w:r>
      <w:r>
        <w:rPr>
          <w:spacing w:val="-142"/>
          <w:w w:val="99"/>
        </w:rPr>
        <w:t>）</w:t>
      </w:r>
      <w:r>
        <w:rPr>
          <w:spacing w:val="3"/>
          <w:w w:val="99"/>
        </w:rPr>
        <w:t>：</w:t>
      </w:r>
    </w:p>
    <w:p>
      <w:pPr>
        <w:tabs>
          <w:tab w:val="left" w:pos="845"/>
          <w:tab w:val="left" w:pos="1692"/>
        </w:tabs>
        <w:spacing w:before="241"/>
        <w:ind w:right="895"/>
        <w:jc w:val="center"/>
        <w:rPr>
          <w:b/>
          <w:sz w:val="28"/>
        </w:rPr>
      </w:pPr>
      <w:r>
        <w:rPr>
          <w:rFonts w:hint="eastAsia"/>
          <w:b/>
          <w:sz w:val="28"/>
        </w:rPr>
        <w:t xml:space="preserve">                             </w:t>
      </w:r>
      <w:r>
        <w:rPr>
          <w:b/>
          <w:sz w:val="28"/>
        </w:rPr>
        <w:t>年</w:t>
      </w:r>
      <w:r>
        <w:rPr>
          <w:b/>
          <w:sz w:val="28"/>
        </w:rPr>
        <w:tab/>
      </w:r>
      <w:r>
        <w:rPr>
          <w:b/>
          <w:sz w:val="28"/>
        </w:rPr>
        <w:t>月</w:t>
      </w:r>
      <w:r>
        <w:rPr>
          <w:rFonts w:hint="eastAsia"/>
          <w:b/>
          <w:sz w:val="28"/>
        </w:rPr>
        <w:t xml:space="preserve">    </w:t>
      </w:r>
      <w:r>
        <w:rPr>
          <w:b/>
          <w:w w:val="95"/>
          <w:sz w:val="28"/>
        </w:rPr>
        <w:t>日</w:t>
      </w:r>
    </w:p>
    <w:p>
      <w:pPr>
        <w:jc w:val="right"/>
        <w:rPr>
          <w:sz w:val="28"/>
        </w:rPr>
        <w:sectPr>
          <w:footerReference r:id="rId6" w:type="default"/>
          <w:pgSz w:w="11910" w:h="16840"/>
          <w:pgMar w:top="1340" w:right="800" w:bottom="280" w:left="800" w:header="0" w:footer="0" w:gutter="0"/>
          <w:cols w:space="720" w:num="1"/>
        </w:sectPr>
      </w:pPr>
    </w:p>
    <w:p>
      <w:pPr>
        <w:pStyle w:val="6"/>
        <w:rPr>
          <w:b/>
          <w:sz w:val="20"/>
        </w:rPr>
      </w:pPr>
    </w:p>
    <w:p>
      <w:pPr>
        <w:pStyle w:val="6"/>
        <w:spacing w:before="5"/>
        <w:rPr>
          <w:b/>
          <w:sz w:val="16"/>
        </w:rPr>
      </w:pPr>
    </w:p>
    <w:p>
      <w:pPr>
        <w:spacing w:before="58"/>
        <w:ind w:left="518" w:right="518"/>
        <w:jc w:val="center"/>
        <w:rPr>
          <w:rFonts w:ascii="华文中宋" w:eastAsia="华文中宋"/>
          <w:b/>
          <w:sz w:val="32"/>
        </w:rPr>
      </w:pPr>
      <w:r>
        <w:rPr>
          <w:rFonts w:hint="eastAsia" w:ascii="华文中宋" w:eastAsia="华文中宋"/>
          <w:b/>
          <w:sz w:val="32"/>
        </w:rPr>
        <w:t>法定代表人（负责人）身份证明书</w:t>
      </w:r>
    </w:p>
    <w:p>
      <w:pPr>
        <w:pStyle w:val="6"/>
        <w:rPr>
          <w:rFonts w:ascii="华文中宋"/>
          <w:b/>
          <w:sz w:val="42"/>
        </w:rPr>
      </w:pPr>
    </w:p>
    <w:p>
      <w:pPr>
        <w:pStyle w:val="6"/>
        <w:spacing w:before="9"/>
        <w:rPr>
          <w:rFonts w:ascii="华文中宋"/>
          <w:b/>
          <w:sz w:val="24"/>
        </w:rPr>
      </w:pPr>
    </w:p>
    <w:p>
      <w:pPr>
        <w:pStyle w:val="6"/>
        <w:tabs>
          <w:tab w:val="left" w:pos="2338"/>
          <w:tab w:val="left" w:pos="7943"/>
        </w:tabs>
        <w:ind w:left="518"/>
        <w:jc w:val="center"/>
      </w:pPr>
      <w:r>
        <w:rPr>
          <w:rFonts w:ascii="Times New Roman" w:eastAsia="Times New Roman"/>
          <w:u w:val="single"/>
        </w:rPr>
        <w:tab/>
      </w:r>
      <w:r>
        <w:t>（身份证号</w:t>
      </w:r>
      <w:r>
        <w:rPr>
          <w:spacing w:val="-3"/>
        </w:rPr>
        <w:t>码</w:t>
      </w:r>
      <w:r>
        <w:t>：</w:t>
      </w:r>
      <w:r>
        <w:rPr>
          <w:rFonts w:ascii="Times New Roman" w:eastAsia="Times New Roman"/>
          <w:u w:val="single"/>
        </w:rPr>
        <w:tab/>
      </w:r>
      <w:r>
        <w:t>）</w:t>
      </w:r>
    </w:p>
    <w:p>
      <w:pPr>
        <w:pStyle w:val="6"/>
        <w:spacing w:before="3"/>
        <w:rPr>
          <w:sz w:val="15"/>
        </w:rPr>
      </w:pPr>
    </w:p>
    <w:p>
      <w:pPr>
        <w:pStyle w:val="6"/>
        <w:tabs>
          <w:tab w:val="left" w:pos="7162"/>
        </w:tabs>
        <w:spacing w:before="70"/>
        <w:ind w:left="1000"/>
      </w:pPr>
      <w:r>
        <w:t>在我单</w:t>
      </w:r>
      <w:r>
        <w:rPr>
          <w:spacing w:val="-3"/>
        </w:rPr>
        <w:t>位</w:t>
      </w:r>
      <w:r>
        <w:t>任</w:t>
      </w:r>
      <w:r>
        <w:rPr>
          <w:rFonts w:ascii="Times New Roman" w:eastAsia="Times New Roman"/>
          <w:u w:val="single"/>
        </w:rPr>
        <w:tab/>
      </w:r>
      <w:r>
        <w:t>职务</w:t>
      </w:r>
      <w:r>
        <w:rPr>
          <w:spacing w:val="-3"/>
        </w:rPr>
        <w:t>，</w:t>
      </w:r>
      <w:r>
        <w:t>为我单位</w:t>
      </w:r>
    </w:p>
    <w:p>
      <w:pPr>
        <w:pStyle w:val="6"/>
        <w:rPr>
          <w:sz w:val="16"/>
        </w:rPr>
      </w:pPr>
    </w:p>
    <w:p>
      <w:pPr>
        <w:pStyle w:val="6"/>
        <w:spacing w:before="61" w:line="578" w:lineRule="auto"/>
        <w:ind w:left="1559" w:right="5941" w:hanging="560"/>
      </w:pPr>
      <w:r>
        <w:t>的法定代表人（负责人）。特此证明。</w:t>
      </w:r>
    </w:p>
    <w:p>
      <w:pPr>
        <w:pStyle w:val="6"/>
        <w:rPr>
          <w:sz w:val="20"/>
        </w:rPr>
      </w:pPr>
    </w:p>
    <w:p>
      <w:pPr>
        <w:pStyle w:val="6"/>
        <w:spacing w:before="11"/>
        <w:rPr>
          <w:sz w:val="23"/>
        </w:rPr>
      </w:pPr>
    </w:p>
    <w:p>
      <w:pPr>
        <w:pStyle w:val="4"/>
        <w:spacing w:before="61"/>
        <w:ind w:left="6211"/>
      </w:pPr>
      <w:r>
        <w:rPr>
          <w:w w:val="99"/>
        </w:rPr>
        <w:t>证明单位</w:t>
      </w:r>
      <w:r>
        <w:rPr>
          <w:spacing w:val="2"/>
          <w:w w:val="99"/>
        </w:rPr>
        <w:t>（</w:t>
      </w:r>
      <w:r>
        <w:rPr>
          <w:w w:val="99"/>
        </w:rPr>
        <w:t>盖章</w:t>
      </w:r>
      <w:r>
        <w:rPr>
          <w:spacing w:val="-142"/>
          <w:w w:val="99"/>
        </w:rPr>
        <w:t>）</w:t>
      </w:r>
      <w:r>
        <w:rPr>
          <w:w w:val="99"/>
        </w:rPr>
        <w:t>：</w:t>
      </w:r>
    </w:p>
    <w:p>
      <w:pPr>
        <w:pStyle w:val="6"/>
        <w:spacing w:before="9"/>
        <w:rPr>
          <w:b/>
          <w:sz w:val="20"/>
        </w:rPr>
      </w:pPr>
    </w:p>
    <w:p>
      <w:pPr>
        <w:tabs>
          <w:tab w:val="left" w:pos="845"/>
          <w:tab w:val="left" w:pos="1687"/>
        </w:tabs>
        <w:ind w:right="996"/>
        <w:jc w:val="right"/>
        <w:rPr>
          <w:b/>
          <w:sz w:val="28"/>
        </w:rPr>
      </w:pPr>
      <w:r>
        <w:rPr>
          <w:b/>
          <w:sz w:val="28"/>
        </w:rPr>
        <w:t>年</w:t>
      </w:r>
      <w:r>
        <w:rPr>
          <w:b/>
          <w:sz w:val="28"/>
        </w:rPr>
        <w:tab/>
      </w:r>
      <w:r>
        <w:rPr>
          <w:b/>
          <w:sz w:val="28"/>
        </w:rPr>
        <w:t>月</w:t>
      </w:r>
      <w:r>
        <w:rPr>
          <w:b/>
          <w:sz w:val="28"/>
        </w:rPr>
        <w:tab/>
      </w:r>
      <w:r>
        <w:rPr>
          <w:b/>
          <w:w w:val="95"/>
          <w:sz w:val="28"/>
        </w:rPr>
        <w:t>日</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233"/>
        <w:ind w:left="1000"/>
      </w:pPr>
      <w:r>
        <w:t>附：法定代表人（负责人）身份证复印件</w:t>
      </w:r>
    </w:p>
    <w:p>
      <w:pPr>
        <w:sectPr>
          <w:footerReference r:id="rId7" w:type="default"/>
          <w:pgSz w:w="11910" w:h="16840"/>
          <w:pgMar w:top="1580" w:right="800" w:bottom="280" w:left="800" w:header="0" w:footer="0" w:gutter="0"/>
          <w:cols w:space="720" w:num="1"/>
        </w:sectPr>
      </w:pPr>
    </w:p>
    <w:p>
      <w:pPr>
        <w:pStyle w:val="2"/>
        <w:ind w:left="0" w:leftChars="0" w:firstLine="638" w:firstLineChars="177"/>
        <w:jc w:val="center"/>
        <w:rPr>
          <w:rFonts w:hint="eastAsia"/>
        </w:rPr>
      </w:pPr>
      <w:r>
        <w:t>授权委托书</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lang w:eastAsia="zh-CN"/>
        </w:rPr>
      </w:pPr>
      <w:r>
        <w:rPr>
          <w:rFonts w:hint="eastAsia" w:ascii="仿宋" w:hAnsi="仿宋" w:eastAsia="仿宋" w:cs="仿宋"/>
          <w:sz w:val="24"/>
        </w:rPr>
        <w:t>委托人：</w:t>
      </w:r>
      <w:r>
        <w:rPr>
          <w:rFonts w:hint="eastAsia" w:ascii="仿宋" w:hAnsi="仿宋" w:eastAsia="仿宋" w:cs="仿宋"/>
          <w:sz w:val="24"/>
        </w:rPr>
        <w:tab/>
      </w: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lang w:val="en-US" w:eastAsia="zh-CN"/>
        </w:rPr>
        <w:t>负责人</w:t>
      </w:r>
      <w:r>
        <w:rPr>
          <w:rFonts w:hint="eastAsia" w:ascii="仿宋" w:hAnsi="仿宋" w:eastAsia="仿宋" w:cs="仿宋"/>
          <w:sz w:val="24"/>
          <w:lang w:eastAsia="zh-CN"/>
        </w:rPr>
        <w:t>）：</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统一社会信用代码（身份证号码）：</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住所地：</w:t>
      </w:r>
      <w:r>
        <w:rPr>
          <w:rFonts w:hint="eastAsia" w:ascii="仿宋" w:hAnsi="仿宋" w:eastAsia="仿宋" w:cs="仿宋"/>
          <w:sz w:val="24"/>
        </w:rPr>
        <w:tab/>
      </w:r>
      <w:r>
        <w:rPr>
          <w:rFonts w:hint="eastAsia" w:ascii="仿宋" w:hAnsi="仿宋" w:eastAsia="仿宋" w:cs="仿宋"/>
          <w:sz w:val="24"/>
        </w:rPr>
        <w:t>联系方式：</w:t>
      </w:r>
    </w:p>
    <w:p>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42" w:firstLineChars="177"/>
        <w:textAlignment w:val="baseline"/>
        <w:rPr>
          <w:rFonts w:hint="eastAsia" w:ascii="仿宋" w:hAnsi="仿宋" w:eastAsia="仿宋" w:cs="仿宋"/>
          <w:sz w:val="25"/>
        </w:rPr>
      </w:pP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受托人：</w:t>
      </w:r>
      <w:r>
        <w:rPr>
          <w:rFonts w:hint="eastAsia" w:ascii="仿宋" w:hAnsi="仿宋" w:eastAsia="仿宋" w:cs="仿宋"/>
          <w:sz w:val="24"/>
        </w:rPr>
        <w:tab/>
      </w:r>
      <w:r>
        <w:rPr>
          <w:rFonts w:hint="eastAsia" w:ascii="仿宋" w:hAnsi="仿宋" w:eastAsia="仿宋" w:cs="仿宋"/>
          <w:sz w:val="24"/>
        </w:rPr>
        <w:t>身份证号码：</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工作单位：</w:t>
      </w:r>
      <w:r>
        <w:rPr>
          <w:rFonts w:hint="eastAsia" w:ascii="仿宋" w:hAnsi="仿宋" w:eastAsia="仿宋" w:cs="仿宋"/>
          <w:sz w:val="24"/>
        </w:rPr>
        <w:tab/>
      </w:r>
      <w:r>
        <w:rPr>
          <w:rFonts w:hint="eastAsia" w:ascii="仿宋" w:hAnsi="仿宋" w:eastAsia="仿宋" w:cs="仿宋"/>
          <w:sz w:val="24"/>
        </w:rPr>
        <w:t>联系方式：</w:t>
      </w:r>
    </w:p>
    <w:p>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受托人：</w:t>
      </w:r>
      <w:r>
        <w:rPr>
          <w:rFonts w:hint="eastAsia" w:ascii="仿宋" w:hAnsi="仿宋" w:eastAsia="仿宋" w:cs="仿宋"/>
          <w:sz w:val="24"/>
        </w:rPr>
        <w:tab/>
      </w:r>
      <w:r>
        <w:rPr>
          <w:rFonts w:hint="eastAsia" w:ascii="仿宋" w:hAnsi="仿宋" w:eastAsia="仿宋" w:cs="仿宋"/>
          <w:sz w:val="24"/>
        </w:rPr>
        <w:t>身份证号码：</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工作单位：</w:t>
      </w:r>
      <w:r>
        <w:rPr>
          <w:rFonts w:hint="eastAsia" w:ascii="仿宋" w:hAnsi="仿宋" w:eastAsia="仿宋" w:cs="仿宋"/>
          <w:sz w:val="24"/>
        </w:rPr>
        <w:tab/>
      </w:r>
      <w:r>
        <w:rPr>
          <w:rFonts w:hint="eastAsia" w:ascii="仿宋" w:hAnsi="仿宋" w:eastAsia="仿宋" w:cs="仿宋"/>
          <w:sz w:val="24"/>
        </w:rPr>
        <w:t>联系方式：</w:t>
      </w:r>
    </w:p>
    <w:p>
      <w:pPr>
        <w:keepNext w:val="0"/>
        <w:keepLines w:val="0"/>
        <w:pageBreakBefore w:val="0"/>
        <w:widowControl/>
        <w:tabs>
          <w:tab w:val="left" w:pos="5462"/>
        </w:tabs>
        <w:kinsoku w:val="0"/>
        <w:wordWrap/>
        <w:overflowPunct/>
        <w:topLinePunct w:val="0"/>
        <w:autoSpaceDE w:val="0"/>
        <w:autoSpaceDN w:val="0"/>
        <w:bidi w:val="0"/>
        <w:adjustRightInd w:val="0"/>
        <w:snapToGrid w:val="0"/>
        <w:spacing w:line="480" w:lineRule="exact"/>
        <w:ind w:left="0" w:leftChars="0" w:firstLine="424" w:firstLineChars="177"/>
        <w:textAlignment w:val="baseline"/>
        <w:rPr>
          <w:rFonts w:hint="eastAsia" w:ascii="仿宋" w:hAnsi="仿宋" w:eastAsia="仿宋" w:cs="仿宋"/>
          <w:sz w:val="24"/>
        </w:rPr>
      </w:pP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88" w:rightChars="-42" w:firstLine="421" w:firstLineChars="177"/>
        <w:jc w:val="both"/>
        <w:textAlignment w:val="baseline"/>
        <w:rPr>
          <w:rFonts w:hint="eastAsia" w:ascii="仿宋" w:hAnsi="仿宋" w:eastAsia="仿宋" w:cs="仿宋"/>
          <w:sz w:val="24"/>
        </w:rPr>
      </w:pPr>
      <w:r>
        <w:rPr>
          <w:rFonts w:hint="eastAsia" w:ascii="仿宋" w:hAnsi="仿宋" w:eastAsia="仿宋" w:cs="仿宋"/>
          <w:spacing w:val="-1"/>
          <w:sz w:val="24"/>
        </w:rPr>
        <w:t>委托人就深圳广田集团股份有限公司预重整程序</w:t>
      </w:r>
      <w:r>
        <w:rPr>
          <w:rFonts w:hint="eastAsia" w:ascii="仿宋" w:hAnsi="仿宋" w:eastAsia="仿宋" w:cs="仿宋"/>
          <w:spacing w:val="-1"/>
          <w:sz w:val="24"/>
          <w:lang w:eastAsia="zh-CN"/>
        </w:rPr>
        <w:t>（以下简称“本案”），</w:t>
      </w:r>
      <w:r>
        <w:rPr>
          <w:rFonts w:hint="eastAsia" w:ascii="仿宋" w:hAnsi="仿宋" w:eastAsia="仿宋" w:cs="仿宋"/>
          <w:spacing w:val="-1"/>
          <w:sz w:val="24"/>
          <w:lang w:val="en-US" w:eastAsia="zh-CN"/>
        </w:rPr>
        <w:t>特</w:t>
      </w:r>
      <w:r>
        <w:rPr>
          <w:rFonts w:hint="eastAsia" w:ascii="仿宋" w:hAnsi="仿宋" w:eastAsia="仿宋" w:cs="仿宋"/>
          <w:spacing w:val="-8"/>
          <w:sz w:val="24"/>
        </w:rPr>
        <w:t>委</w:t>
      </w:r>
      <w:r>
        <w:rPr>
          <w:rFonts w:hint="eastAsia" w:ascii="仿宋" w:hAnsi="仿宋" w:eastAsia="仿宋" w:cs="仿宋"/>
          <w:spacing w:val="-10"/>
          <w:sz w:val="24"/>
        </w:rPr>
        <w:t>托上述受托人作为代理人，参与处理本案的相关事宜。受托人的代理权限为特别授</w:t>
      </w:r>
      <w:r>
        <w:rPr>
          <w:rFonts w:hint="eastAsia" w:ascii="仿宋" w:hAnsi="仿宋" w:eastAsia="仿宋" w:cs="仿宋"/>
          <w:sz w:val="24"/>
        </w:rPr>
        <w:t>权，包括但不限于：</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1、向本案临时管理人申报债权、提交相关证明文件及资料，并处理与债权申报相关事宜；</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2、签署、递交、接收和转送与本案有关的各类法律文件及其他文件资料；</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3、参加本案的债权人会议并代表委托人发表意见和行使表决权；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4、代表委托人就预重整程序中各项决议、议案、方案等事项发表意见；</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5、处理与本案相关的其他法律事务。</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如人民法院裁定受理深圳广田集团股份有限公司重整，委托人对上述受托人的授权在重整程序中继续有效。</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特此授权。</w:t>
      </w:r>
    </w:p>
    <w:p>
      <w:pPr>
        <w:keepNext w:val="0"/>
        <w:keepLines w:val="0"/>
        <w:pageBreakBefore w:val="0"/>
        <w:widowControl w:val="0"/>
        <w:kinsoku/>
        <w:wordWrap w:val="0"/>
        <w:overflowPunct/>
        <w:topLinePunct w:val="0"/>
        <w:autoSpaceDE w:val="0"/>
        <w:autoSpaceDN w:val="0"/>
        <w:bidi w:val="0"/>
        <w:adjustRightInd w:val="0"/>
        <w:snapToGrid w:val="0"/>
        <w:spacing w:before="120" w:line="400" w:lineRule="exact"/>
        <w:ind w:left="0" w:leftChars="0" w:right="-88" w:rightChars="-42" w:firstLine="426" w:firstLineChars="177"/>
        <w:jc w:val="right"/>
        <w:textAlignment w:val="baseline"/>
        <w:rPr>
          <w:rFonts w:hint="default" w:ascii="仿宋" w:hAnsi="仿宋" w:eastAsia="仿宋" w:cs="仿宋"/>
          <w:b/>
          <w:sz w:val="24"/>
          <w:lang w:val="en-US" w:eastAsia="zh-CN"/>
        </w:rPr>
      </w:pPr>
      <w:r>
        <w:rPr>
          <w:rFonts w:hint="eastAsia" w:ascii="仿宋" w:hAnsi="仿宋" w:eastAsia="仿宋" w:cs="仿宋"/>
          <w:b/>
          <w:sz w:val="24"/>
        </w:rPr>
        <w:t>委托人</w:t>
      </w:r>
      <w:r>
        <w:rPr>
          <w:rFonts w:hint="eastAsia" w:ascii="仿宋" w:hAnsi="仿宋" w:eastAsia="仿宋" w:cs="仿宋"/>
          <w:b/>
          <w:sz w:val="24"/>
          <w:lang w:eastAsia="zh-CN"/>
        </w:rPr>
        <w:t>（盖章/签字）：</w:t>
      </w:r>
      <w:r>
        <w:rPr>
          <w:rFonts w:hint="eastAsia" w:ascii="仿宋" w:hAnsi="仿宋" w:eastAsia="仿宋" w:cs="仿宋"/>
          <w:b/>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line="400" w:lineRule="exact"/>
        <w:ind w:left="0" w:leftChars="0" w:right="-88" w:rightChars="-42" w:firstLine="421" w:firstLineChars="177"/>
        <w:jc w:val="center"/>
        <w:textAlignment w:val="baseline"/>
        <w:rPr>
          <w:rFonts w:hint="eastAsia" w:ascii="仿宋" w:hAnsi="仿宋" w:eastAsia="仿宋" w:cs="仿宋"/>
          <w:b/>
          <w:sz w:val="24"/>
          <w:lang w:val="en-US" w:eastAsia="zh-CN"/>
        </w:rPr>
      </w:pPr>
      <w:r>
        <w:rPr>
          <w:rFonts w:hint="eastAsia" w:ascii="仿宋" w:hAnsi="仿宋" w:eastAsia="仿宋" w:cs="仿宋"/>
          <w:b/>
          <w:w w:val="99"/>
          <w:sz w:val="24"/>
        </w:rPr>
        <w:t>法定代表人</w:t>
      </w:r>
      <w:r>
        <w:rPr>
          <w:rFonts w:hint="eastAsia" w:ascii="仿宋" w:hAnsi="仿宋" w:eastAsia="仿宋" w:cs="仿宋"/>
          <w:b/>
          <w:spacing w:val="2"/>
          <w:w w:val="99"/>
          <w:sz w:val="24"/>
        </w:rPr>
        <w:t>/</w:t>
      </w:r>
      <w:r>
        <w:rPr>
          <w:rFonts w:hint="eastAsia" w:ascii="仿宋" w:hAnsi="仿宋" w:eastAsia="仿宋" w:cs="仿宋"/>
          <w:b/>
          <w:w w:val="99"/>
          <w:sz w:val="24"/>
        </w:rPr>
        <w:t>负责人</w:t>
      </w:r>
      <w:r>
        <w:rPr>
          <w:rFonts w:hint="eastAsia" w:ascii="仿宋" w:hAnsi="仿宋" w:eastAsia="仿宋" w:cs="仿宋"/>
          <w:b/>
          <w:w w:val="99"/>
          <w:sz w:val="24"/>
          <w:lang w:eastAsia="zh-CN"/>
        </w:rPr>
        <w:t>（</w:t>
      </w:r>
      <w:r>
        <w:rPr>
          <w:rFonts w:hint="eastAsia" w:ascii="仿宋" w:hAnsi="仿宋" w:eastAsia="仿宋" w:cs="仿宋"/>
          <w:b/>
          <w:w w:val="99"/>
          <w:sz w:val="24"/>
          <w:lang w:val="en-US" w:eastAsia="zh-CN"/>
        </w:rPr>
        <w:t>签字</w:t>
      </w:r>
      <w:r>
        <w:rPr>
          <w:rFonts w:hint="eastAsia" w:ascii="仿宋" w:hAnsi="仿宋" w:eastAsia="仿宋" w:cs="仿宋"/>
          <w:b/>
          <w:w w:val="99"/>
          <w:sz w:val="24"/>
          <w:lang w:eastAsia="zh-CN"/>
        </w:rPr>
        <w:t>）：</w:t>
      </w:r>
      <w:r>
        <w:rPr>
          <w:rFonts w:hint="eastAsia" w:ascii="仿宋" w:hAnsi="仿宋" w:eastAsia="仿宋" w:cs="仿宋"/>
          <w:b/>
          <w:w w:val="99"/>
          <w:sz w:val="24"/>
          <w:lang w:val="en-US" w:eastAsia="zh-CN"/>
        </w:rPr>
        <w:t xml:space="preserve">             </w:t>
      </w:r>
    </w:p>
    <w:p>
      <w:pPr>
        <w:keepNext w:val="0"/>
        <w:keepLines w:val="0"/>
        <w:pageBreakBefore w:val="0"/>
        <w:widowControl w:val="0"/>
        <w:tabs>
          <w:tab w:val="left" w:pos="6782"/>
          <w:tab w:val="left" w:pos="7745"/>
        </w:tabs>
        <w:kinsoku/>
        <w:wordWrap/>
        <w:overflowPunct/>
        <w:topLinePunct w:val="0"/>
        <w:autoSpaceDE w:val="0"/>
        <w:autoSpaceDN w:val="0"/>
        <w:bidi w:val="0"/>
        <w:adjustRightInd w:val="0"/>
        <w:snapToGrid w:val="0"/>
        <w:spacing w:before="120" w:line="400" w:lineRule="exact"/>
        <w:ind w:left="0" w:leftChars="0" w:right="-88" w:rightChars="-42" w:firstLine="426" w:firstLineChars="177"/>
        <w:jc w:val="right"/>
        <w:textAlignment w:val="baseline"/>
        <w:rPr>
          <w:rFonts w:hint="eastAsia" w:ascii="仿宋" w:hAnsi="仿宋" w:eastAsia="仿宋" w:cs="仿宋"/>
          <w:b/>
          <w:sz w:val="24"/>
        </w:rPr>
      </w:pPr>
      <w:r>
        <w:rPr>
          <w:rFonts w:hint="eastAsia" w:ascii="仿宋" w:hAnsi="仿宋" w:eastAsia="仿宋" w:cs="仿宋"/>
          <w:b/>
          <w:sz w:val="24"/>
        </w:rPr>
        <w:t>年</w:t>
      </w:r>
      <w:r>
        <w:rPr>
          <w:rFonts w:hint="eastAsia" w:ascii="仿宋" w:hAnsi="仿宋" w:eastAsia="仿宋" w:cs="仿宋"/>
          <w:b/>
          <w:sz w:val="24"/>
          <w:lang w:val="en-US" w:eastAsia="zh-CN"/>
        </w:rPr>
        <w:t xml:space="preserve">  </w:t>
      </w:r>
      <w:r>
        <w:rPr>
          <w:rFonts w:hint="eastAsia" w:ascii="仿宋" w:hAnsi="仿宋" w:eastAsia="仿宋" w:cs="仿宋"/>
          <w:b/>
          <w:sz w:val="24"/>
        </w:rPr>
        <w:t>月</w:t>
      </w:r>
      <w:r>
        <w:rPr>
          <w:rFonts w:hint="eastAsia" w:ascii="仿宋" w:hAnsi="仿宋" w:eastAsia="仿宋" w:cs="仿宋"/>
          <w:b/>
          <w:sz w:val="24"/>
          <w:lang w:val="en-US" w:eastAsia="zh-CN"/>
        </w:rPr>
        <w:t xml:space="preserve">  </w:t>
      </w:r>
      <w:r>
        <w:rPr>
          <w:rFonts w:hint="eastAsia" w:ascii="仿宋" w:hAnsi="仿宋" w:eastAsia="仿宋" w:cs="仿宋"/>
          <w:b/>
          <w:sz w:val="24"/>
        </w:rPr>
        <w:t>日</w:t>
      </w:r>
    </w:p>
    <w:p>
      <w:pPr>
        <w:keepNext w:val="0"/>
        <w:keepLines w:val="0"/>
        <w:pageBreakBefore w:val="0"/>
        <w:widowControl/>
        <w:kinsoku/>
        <w:wordWrap/>
        <w:overflowPunct/>
        <w:topLinePunct w:val="0"/>
        <w:autoSpaceDE w:val="0"/>
        <w:autoSpaceDN w:val="0"/>
        <w:bidi w:val="0"/>
        <w:adjustRightInd w:val="0"/>
        <w:snapToGrid w:val="0"/>
        <w:spacing w:before="160" w:line="400" w:lineRule="exact"/>
        <w:ind w:left="0" w:leftChars="0" w:right="-88" w:rightChars="-42" w:firstLine="424" w:firstLineChars="177"/>
        <w:textAlignment w:val="baseline"/>
        <w:rPr>
          <w:rFonts w:hint="eastAsia" w:ascii="仿宋" w:hAnsi="仿宋" w:eastAsia="仿宋" w:cs="仿宋"/>
          <w:sz w:val="24"/>
        </w:rPr>
      </w:pPr>
      <w:r>
        <w:rPr>
          <w:rFonts w:hint="eastAsia" w:ascii="仿宋" w:hAnsi="仿宋" w:eastAsia="仿宋" w:cs="仿宋"/>
          <w:sz w:val="24"/>
        </w:rPr>
        <w:t>附：受托人身份证复印件（委托人签章）</w:t>
      </w:r>
    </w:p>
    <w:p>
      <w:pPr>
        <w:keepNext w:val="0"/>
        <w:keepLines w:val="0"/>
        <w:pageBreakBefore w:val="0"/>
        <w:widowControl/>
        <w:kinsoku/>
        <w:wordWrap/>
        <w:overflowPunct/>
        <w:topLinePunct w:val="0"/>
        <w:autoSpaceDE w:val="0"/>
        <w:autoSpaceDN w:val="0"/>
        <w:bidi w:val="0"/>
        <w:adjustRightInd w:val="0"/>
        <w:snapToGrid w:val="0"/>
        <w:spacing w:before="161" w:line="400" w:lineRule="exact"/>
        <w:ind w:left="0" w:leftChars="0" w:firstLine="424" w:firstLineChars="177"/>
        <w:textAlignment w:val="baseline"/>
        <w:rPr>
          <w:rFonts w:hint="eastAsia" w:ascii="仿宋" w:hAnsi="仿宋" w:eastAsia="仿宋" w:cs="仿宋"/>
          <w:sz w:val="24"/>
        </w:rPr>
      </w:pPr>
      <w:r>
        <w:rPr>
          <w:rFonts w:hint="eastAsia" w:ascii="仿宋" w:hAnsi="仿宋" w:eastAsia="仿宋" w:cs="仿宋"/>
          <w:sz w:val="24"/>
        </w:rPr>
        <w:t>注：受托人是律师的，还应附律师执业证复印件、律师事务所指派函原件</w:t>
      </w:r>
    </w:p>
    <w:sectPr>
      <w:pgSz w:w="11910" w:h="1684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144528"/>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76B01"/>
    <w:multiLevelType w:val="singleLevel"/>
    <w:tmpl w:val="C8D76B01"/>
    <w:lvl w:ilvl="0" w:tentative="0">
      <w:start w:val="1"/>
      <w:numFmt w:val="chineseCounting"/>
      <w:suff w:val="nothing"/>
      <w:lvlText w:val="（%1）"/>
      <w:lvlJc w:val="left"/>
      <w:rPr>
        <w:rFonts w:hint="eastAsia"/>
      </w:rPr>
    </w:lvl>
  </w:abstractNum>
  <w:abstractNum w:abstractNumId="1">
    <w:nsid w:val="25B654F3"/>
    <w:multiLevelType w:val="multilevel"/>
    <w:tmpl w:val="25B654F3"/>
    <w:lvl w:ilvl="0" w:tentative="0">
      <w:start w:val="1"/>
      <w:numFmt w:val="decimal"/>
      <w:lvlText w:val="%1."/>
      <w:lvlJc w:val="left"/>
      <w:pPr>
        <w:ind w:left="108" w:hanging="226"/>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896" w:hanging="226"/>
      </w:pPr>
      <w:rPr>
        <w:rFonts w:hint="default"/>
        <w:lang w:val="zh-CN" w:eastAsia="zh-CN" w:bidi="zh-CN"/>
      </w:rPr>
    </w:lvl>
    <w:lvl w:ilvl="2" w:tentative="0">
      <w:start w:val="0"/>
      <w:numFmt w:val="bullet"/>
      <w:lvlText w:val="•"/>
      <w:lvlJc w:val="left"/>
      <w:pPr>
        <w:ind w:left="1693" w:hanging="226"/>
      </w:pPr>
      <w:rPr>
        <w:rFonts w:hint="default"/>
        <w:lang w:val="zh-CN" w:eastAsia="zh-CN" w:bidi="zh-CN"/>
      </w:rPr>
    </w:lvl>
    <w:lvl w:ilvl="3" w:tentative="0">
      <w:start w:val="0"/>
      <w:numFmt w:val="bullet"/>
      <w:lvlText w:val="•"/>
      <w:lvlJc w:val="left"/>
      <w:pPr>
        <w:ind w:left="2490" w:hanging="226"/>
      </w:pPr>
      <w:rPr>
        <w:rFonts w:hint="default"/>
        <w:lang w:val="zh-CN" w:eastAsia="zh-CN" w:bidi="zh-CN"/>
      </w:rPr>
    </w:lvl>
    <w:lvl w:ilvl="4" w:tentative="0">
      <w:start w:val="0"/>
      <w:numFmt w:val="bullet"/>
      <w:lvlText w:val="•"/>
      <w:lvlJc w:val="left"/>
      <w:pPr>
        <w:ind w:left="3287" w:hanging="226"/>
      </w:pPr>
      <w:rPr>
        <w:rFonts w:hint="default"/>
        <w:lang w:val="zh-CN" w:eastAsia="zh-CN" w:bidi="zh-CN"/>
      </w:rPr>
    </w:lvl>
    <w:lvl w:ilvl="5" w:tentative="0">
      <w:start w:val="0"/>
      <w:numFmt w:val="bullet"/>
      <w:lvlText w:val="•"/>
      <w:lvlJc w:val="left"/>
      <w:pPr>
        <w:ind w:left="4084" w:hanging="226"/>
      </w:pPr>
      <w:rPr>
        <w:rFonts w:hint="default"/>
        <w:lang w:val="zh-CN" w:eastAsia="zh-CN" w:bidi="zh-CN"/>
      </w:rPr>
    </w:lvl>
    <w:lvl w:ilvl="6" w:tentative="0">
      <w:start w:val="0"/>
      <w:numFmt w:val="bullet"/>
      <w:lvlText w:val="•"/>
      <w:lvlJc w:val="left"/>
      <w:pPr>
        <w:ind w:left="4880" w:hanging="226"/>
      </w:pPr>
      <w:rPr>
        <w:rFonts w:hint="default"/>
        <w:lang w:val="zh-CN" w:eastAsia="zh-CN" w:bidi="zh-CN"/>
      </w:rPr>
    </w:lvl>
    <w:lvl w:ilvl="7" w:tentative="0">
      <w:start w:val="0"/>
      <w:numFmt w:val="bullet"/>
      <w:lvlText w:val="•"/>
      <w:lvlJc w:val="left"/>
      <w:pPr>
        <w:ind w:left="5677" w:hanging="226"/>
      </w:pPr>
      <w:rPr>
        <w:rFonts w:hint="default"/>
        <w:lang w:val="zh-CN" w:eastAsia="zh-CN" w:bidi="zh-CN"/>
      </w:rPr>
    </w:lvl>
    <w:lvl w:ilvl="8" w:tentative="0">
      <w:start w:val="0"/>
      <w:numFmt w:val="bullet"/>
      <w:lvlText w:val="•"/>
      <w:lvlJc w:val="left"/>
      <w:pPr>
        <w:ind w:left="6474" w:hanging="226"/>
      </w:pPr>
      <w:rPr>
        <w:rFonts w:hint="default"/>
        <w:lang w:val="zh-CN" w:eastAsia="zh-CN" w:bidi="zh-CN"/>
      </w:rPr>
    </w:lvl>
  </w:abstractNum>
  <w:abstractNum w:abstractNumId="2">
    <w:nsid w:val="4CCC64D2"/>
    <w:multiLevelType w:val="singleLevel"/>
    <w:tmpl w:val="4CCC64D2"/>
    <w:lvl w:ilvl="0" w:tentative="0">
      <w:start w:val="1"/>
      <w:numFmt w:val="decimal"/>
      <w:lvlText w:val="%1."/>
      <w:lvlJc w:val="left"/>
      <w:pPr>
        <w:tabs>
          <w:tab w:val="left" w:pos="312"/>
        </w:tabs>
        <w:ind w:left="100"/>
      </w:pPr>
    </w:lvl>
  </w:abstractNum>
  <w:abstractNum w:abstractNumId="3">
    <w:nsid w:val="72183CF9"/>
    <w:multiLevelType w:val="multilevel"/>
    <w:tmpl w:val="72183CF9"/>
    <w:lvl w:ilvl="0" w:tentative="0">
      <w:start w:val="1"/>
      <w:numFmt w:val="decimal"/>
      <w:lvlText w:val="%1."/>
      <w:lvlJc w:val="left"/>
      <w:pPr>
        <w:ind w:left="1240" w:hanging="24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146" w:hanging="240"/>
      </w:pPr>
      <w:rPr>
        <w:rFonts w:hint="default"/>
        <w:lang w:val="zh-CN" w:eastAsia="zh-CN" w:bidi="zh-CN"/>
      </w:rPr>
    </w:lvl>
    <w:lvl w:ilvl="2" w:tentative="0">
      <w:start w:val="0"/>
      <w:numFmt w:val="bullet"/>
      <w:lvlText w:val="•"/>
      <w:lvlJc w:val="left"/>
      <w:pPr>
        <w:ind w:left="3053" w:hanging="240"/>
      </w:pPr>
      <w:rPr>
        <w:rFonts w:hint="default"/>
        <w:lang w:val="zh-CN" w:eastAsia="zh-CN" w:bidi="zh-CN"/>
      </w:rPr>
    </w:lvl>
    <w:lvl w:ilvl="3" w:tentative="0">
      <w:start w:val="0"/>
      <w:numFmt w:val="bullet"/>
      <w:lvlText w:val="•"/>
      <w:lvlJc w:val="left"/>
      <w:pPr>
        <w:ind w:left="3959" w:hanging="240"/>
      </w:pPr>
      <w:rPr>
        <w:rFonts w:hint="default"/>
        <w:lang w:val="zh-CN" w:eastAsia="zh-CN" w:bidi="zh-CN"/>
      </w:rPr>
    </w:lvl>
    <w:lvl w:ilvl="4" w:tentative="0">
      <w:start w:val="0"/>
      <w:numFmt w:val="bullet"/>
      <w:lvlText w:val="•"/>
      <w:lvlJc w:val="left"/>
      <w:pPr>
        <w:ind w:left="4866" w:hanging="240"/>
      </w:pPr>
      <w:rPr>
        <w:rFonts w:hint="default"/>
        <w:lang w:val="zh-CN" w:eastAsia="zh-CN" w:bidi="zh-CN"/>
      </w:rPr>
    </w:lvl>
    <w:lvl w:ilvl="5" w:tentative="0">
      <w:start w:val="0"/>
      <w:numFmt w:val="bullet"/>
      <w:lvlText w:val="•"/>
      <w:lvlJc w:val="left"/>
      <w:pPr>
        <w:ind w:left="5773" w:hanging="240"/>
      </w:pPr>
      <w:rPr>
        <w:rFonts w:hint="default"/>
        <w:lang w:val="zh-CN" w:eastAsia="zh-CN" w:bidi="zh-CN"/>
      </w:rPr>
    </w:lvl>
    <w:lvl w:ilvl="6" w:tentative="0">
      <w:start w:val="0"/>
      <w:numFmt w:val="bullet"/>
      <w:lvlText w:val="•"/>
      <w:lvlJc w:val="left"/>
      <w:pPr>
        <w:ind w:left="6679" w:hanging="240"/>
      </w:pPr>
      <w:rPr>
        <w:rFonts w:hint="default"/>
        <w:lang w:val="zh-CN" w:eastAsia="zh-CN" w:bidi="zh-CN"/>
      </w:rPr>
    </w:lvl>
    <w:lvl w:ilvl="7" w:tentative="0">
      <w:start w:val="0"/>
      <w:numFmt w:val="bullet"/>
      <w:lvlText w:val="•"/>
      <w:lvlJc w:val="left"/>
      <w:pPr>
        <w:ind w:left="7586" w:hanging="240"/>
      </w:pPr>
      <w:rPr>
        <w:rFonts w:hint="default"/>
        <w:lang w:val="zh-CN" w:eastAsia="zh-CN" w:bidi="zh-CN"/>
      </w:rPr>
    </w:lvl>
    <w:lvl w:ilvl="8" w:tentative="0">
      <w:start w:val="0"/>
      <w:numFmt w:val="bullet"/>
      <w:lvlText w:val="•"/>
      <w:lvlJc w:val="left"/>
      <w:pPr>
        <w:ind w:left="8493" w:hanging="240"/>
      </w:pPr>
      <w:rPr>
        <w:rFonts w:hint="default"/>
        <w:lang w:val="zh-CN" w:eastAsia="zh-CN" w:bidi="zh-C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MzQ2ZDUzYmViNmM5ZDk2NWExZjQzZjNhZDVjZTYifQ=="/>
  </w:docVars>
  <w:rsids>
    <w:rsidRoot w:val="45002397"/>
    <w:rsid w:val="00130B3D"/>
    <w:rsid w:val="00442C89"/>
    <w:rsid w:val="0088220E"/>
    <w:rsid w:val="00BE6D24"/>
    <w:rsid w:val="00EE4131"/>
    <w:rsid w:val="04380F52"/>
    <w:rsid w:val="088C66ED"/>
    <w:rsid w:val="091361A6"/>
    <w:rsid w:val="0F786D06"/>
    <w:rsid w:val="192561AE"/>
    <w:rsid w:val="1CA7082B"/>
    <w:rsid w:val="1F9C587F"/>
    <w:rsid w:val="1FB65DB1"/>
    <w:rsid w:val="248F4E23"/>
    <w:rsid w:val="25DF57FF"/>
    <w:rsid w:val="278454A1"/>
    <w:rsid w:val="28C23B6D"/>
    <w:rsid w:val="2B4A6FC2"/>
    <w:rsid w:val="2D751FB4"/>
    <w:rsid w:val="37147C9A"/>
    <w:rsid w:val="3842422E"/>
    <w:rsid w:val="3B503494"/>
    <w:rsid w:val="3CE60F51"/>
    <w:rsid w:val="3EE33FA2"/>
    <w:rsid w:val="43FA5EFE"/>
    <w:rsid w:val="44E9335A"/>
    <w:rsid w:val="45002397"/>
    <w:rsid w:val="475F34FC"/>
    <w:rsid w:val="48171D85"/>
    <w:rsid w:val="50837161"/>
    <w:rsid w:val="541C2AAB"/>
    <w:rsid w:val="56782754"/>
    <w:rsid w:val="5B813C41"/>
    <w:rsid w:val="5EDD61AF"/>
    <w:rsid w:val="5F0E4FEF"/>
    <w:rsid w:val="63C92918"/>
    <w:rsid w:val="6D2907EA"/>
    <w:rsid w:val="74E03EAC"/>
    <w:rsid w:val="76681F8B"/>
    <w:rsid w:val="7C203737"/>
    <w:rsid w:val="7C4E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11"/>
    <w:qFormat/>
    <w:uiPriority w:val="1"/>
    <w:pPr>
      <w:widowControl w:val="0"/>
      <w:kinsoku/>
      <w:adjustRightInd/>
      <w:snapToGrid/>
      <w:spacing w:before="42"/>
      <w:ind w:left="518" w:right="517" w:hanging="1623"/>
      <w:textAlignment w:val="auto"/>
      <w:outlineLvl w:val="0"/>
    </w:pPr>
    <w:rPr>
      <w:rFonts w:ascii="华文中宋" w:hAnsi="华文中宋" w:eastAsia="华文中宋" w:cs="华文中宋"/>
      <w:b/>
      <w:bCs/>
      <w:snapToGrid/>
      <w:color w:val="auto"/>
      <w:sz w:val="36"/>
      <w:szCs w:val="36"/>
      <w:lang w:val="zh-CN" w:bidi="zh-CN"/>
    </w:rPr>
  </w:style>
  <w:style w:type="paragraph" w:styleId="3">
    <w:name w:val="heading 2"/>
    <w:basedOn w:val="1"/>
    <w:next w:val="1"/>
    <w:link w:val="12"/>
    <w:qFormat/>
    <w:uiPriority w:val="1"/>
    <w:pPr>
      <w:widowControl w:val="0"/>
      <w:kinsoku/>
      <w:adjustRightInd/>
      <w:snapToGrid/>
      <w:spacing w:before="58"/>
      <w:ind w:left="518" w:right="2748" w:hanging="1602"/>
      <w:textAlignment w:val="auto"/>
      <w:outlineLvl w:val="1"/>
    </w:pPr>
    <w:rPr>
      <w:rFonts w:ascii="华文中宋" w:hAnsi="华文中宋" w:eastAsia="华文中宋" w:cs="华文中宋"/>
      <w:b/>
      <w:bCs/>
      <w:snapToGrid/>
      <w:color w:val="auto"/>
      <w:sz w:val="32"/>
      <w:szCs w:val="32"/>
      <w:lang w:val="zh-CN" w:bidi="zh-CN"/>
    </w:rPr>
  </w:style>
  <w:style w:type="paragraph" w:styleId="4">
    <w:name w:val="heading 3"/>
    <w:basedOn w:val="1"/>
    <w:next w:val="1"/>
    <w:link w:val="13"/>
    <w:qFormat/>
    <w:uiPriority w:val="1"/>
    <w:pPr>
      <w:widowControl w:val="0"/>
      <w:kinsoku/>
      <w:adjustRightInd/>
      <w:snapToGrid/>
      <w:ind w:left="1000"/>
      <w:textAlignment w:val="auto"/>
      <w:outlineLvl w:val="2"/>
    </w:pPr>
    <w:rPr>
      <w:rFonts w:ascii="仿宋" w:hAnsi="仿宋" w:eastAsia="仿宋" w:cs="仿宋"/>
      <w:b/>
      <w:bCs/>
      <w:snapToGrid/>
      <w:color w:val="auto"/>
      <w:sz w:val="28"/>
      <w:szCs w:val="28"/>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1"/>
    <w:rPr>
      <w:rFonts w:ascii="仿宋" w:hAnsi="仿宋" w:eastAsia="仿宋" w:cs="仿宋"/>
      <w:sz w:val="28"/>
      <w:szCs w:val="28"/>
      <w:lang w:val="zh-CN" w:bidi="zh-CN"/>
    </w:rPr>
  </w:style>
  <w:style w:type="paragraph" w:styleId="7">
    <w:name w:val="footer"/>
    <w:basedOn w:val="1"/>
    <w:link w:val="17"/>
    <w:qFormat/>
    <w:uiPriority w:val="99"/>
    <w:pPr>
      <w:tabs>
        <w:tab w:val="center" w:pos="4153"/>
        <w:tab w:val="right" w:pos="8306"/>
      </w:tabs>
    </w:pPr>
    <w:rPr>
      <w:sz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11">
    <w:name w:val="标题 1 字符"/>
    <w:basedOn w:val="10"/>
    <w:link w:val="2"/>
    <w:uiPriority w:val="1"/>
    <w:rPr>
      <w:rFonts w:ascii="华文中宋" w:hAnsi="华文中宋" w:eastAsia="华文中宋" w:cs="华文中宋"/>
      <w:b/>
      <w:bCs/>
      <w:sz w:val="36"/>
      <w:szCs w:val="36"/>
      <w:lang w:val="zh-CN" w:bidi="zh-CN"/>
    </w:rPr>
  </w:style>
  <w:style w:type="character" w:customStyle="1" w:styleId="12">
    <w:name w:val="标题 2 字符"/>
    <w:basedOn w:val="10"/>
    <w:link w:val="3"/>
    <w:uiPriority w:val="1"/>
    <w:rPr>
      <w:rFonts w:ascii="华文中宋" w:hAnsi="华文中宋" w:eastAsia="华文中宋" w:cs="华文中宋"/>
      <w:b/>
      <w:bCs/>
      <w:sz w:val="32"/>
      <w:szCs w:val="32"/>
      <w:lang w:val="zh-CN" w:bidi="zh-CN"/>
    </w:rPr>
  </w:style>
  <w:style w:type="character" w:customStyle="1" w:styleId="13">
    <w:name w:val="标题 3 字符"/>
    <w:basedOn w:val="10"/>
    <w:link w:val="4"/>
    <w:uiPriority w:val="1"/>
    <w:rPr>
      <w:rFonts w:ascii="仿宋" w:hAnsi="仿宋" w:eastAsia="仿宋" w:cs="仿宋"/>
      <w:b/>
      <w:bCs/>
      <w:sz w:val="28"/>
      <w:szCs w:val="28"/>
      <w:lang w:val="zh-CN" w:bidi="zh-CN"/>
    </w:rPr>
  </w:style>
  <w:style w:type="paragraph" w:styleId="14">
    <w:name w:val="List Paragraph"/>
    <w:basedOn w:val="1"/>
    <w:qFormat/>
    <w:uiPriority w:val="1"/>
    <w:pPr>
      <w:widowControl w:val="0"/>
      <w:kinsoku/>
      <w:adjustRightInd/>
      <w:snapToGrid/>
      <w:spacing w:before="157"/>
      <w:ind w:left="1000" w:firstLine="559"/>
      <w:textAlignment w:val="auto"/>
    </w:pPr>
    <w:rPr>
      <w:rFonts w:ascii="仿宋" w:hAnsi="仿宋" w:eastAsia="仿宋" w:cs="仿宋"/>
      <w:snapToGrid/>
      <w:color w:val="auto"/>
      <w:sz w:val="22"/>
      <w:szCs w:val="22"/>
      <w:lang w:val="zh-CN" w:bidi="zh-CN"/>
    </w:rPr>
  </w:style>
  <w:style w:type="paragraph" w:customStyle="1" w:styleId="15">
    <w:name w:val="Table Paragraph"/>
    <w:basedOn w:val="1"/>
    <w:qFormat/>
    <w:uiPriority w:val="1"/>
    <w:pPr>
      <w:widowControl w:val="0"/>
      <w:kinsoku/>
      <w:adjustRightInd/>
      <w:snapToGrid/>
      <w:textAlignment w:val="auto"/>
    </w:pPr>
    <w:rPr>
      <w:rFonts w:ascii="仿宋" w:hAnsi="仿宋" w:eastAsia="仿宋" w:cs="仿宋"/>
      <w:snapToGrid/>
      <w:color w:val="auto"/>
      <w:sz w:val="22"/>
      <w:szCs w:val="22"/>
      <w:lang w:val="zh-CN" w:bidi="zh-CN"/>
    </w:rPr>
  </w:style>
  <w:style w:type="character" w:customStyle="1" w:styleId="16">
    <w:name w:val="页眉 字符"/>
    <w:basedOn w:val="10"/>
    <w:link w:val="8"/>
    <w:qFormat/>
    <w:uiPriority w:val="99"/>
    <w:rPr>
      <w:rFonts w:ascii="Arial" w:hAnsi="Arial" w:eastAsia="Arial" w:cs="Arial"/>
      <w:snapToGrid w:val="0"/>
      <w:color w:val="000000"/>
      <w:sz w:val="18"/>
      <w:szCs w:val="21"/>
    </w:rPr>
  </w:style>
  <w:style w:type="character" w:customStyle="1" w:styleId="17">
    <w:name w:val="页脚 字符"/>
    <w:basedOn w:val="10"/>
    <w:link w:val="7"/>
    <w:uiPriority w:val="99"/>
    <w:rPr>
      <w:rFonts w:ascii="Arial" w:hAnsi="Arial" w:eastAsia="Arial" w:cs="Arial"/>
      <w:snapToGrid w:val="0"/>
      <w:color w:val="000000"/>
      <w:sz w:val="18"/>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9393</Words>
  <Characters>9652</Characters>
  <Lines>74</Lines>
  <Paragraphs>20</Paragraphs>
  <TotalTime>1</TotalTime>
  <ScaleCrop>false</ScaleCrop>
  <LinksUpToDate>false</LinksUpToDate>
  <CharactersWithSpaces>10057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2023-01-09T01:44:00Z</dcterms:created>
  <dc:creator>卓建-whj</dc:creator>
  <cp:lastModifiedBy>卓建</cp:lastModifiedBy>
  <dcterms:modified xsi:type="dcterms:W3CDTF">2023-01-16T08:48:28Z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82CB5E70383E4028B12A49115C5A2B54</vt:lpwstr>
  </property>
</Properties>
</file>